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AB" w:rsidRDefault="009978AB" w:rsidP="009978AB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F27202A" wp14:editId="6B09B450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HAZARD COMMUNICATION LABEL AND</w:t>
      </w:r>
    </w:p>
    <w:p w:rsidR="009978AB" w:rsidRPr="009978AB" w:rsidRDefault="009978AB" w:rsidP="00F74F7B">
      <w:pPr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SAFETY DATA SHEET TRAINING</w:t>
      </w:r>
    </w:p>
    <w:p w:rsidR="009978AB" w:rsidRPr="00F46434" w:rsidRDefault="009978AB" w:rsidP="009978AB">
      <w:pPr>
        <w:spacing w:after="120"/>
        <w:rPr>
          <w:sz w:val="22"/>
          <w:szCs w:val="20"/>
        </w:rPr>
      </w:pPr>
      <w:r w:rsidRPr="00F46434">
        <w:rPr>
          <w:sz w:val="22"/>
          <w:szCs w:val="20"/>
        </w:rPr>
        <w:t xml:space="preserve">Per DOC 890.070 Chemical Control and HAZCOM, all workers who may come in contact with hazardous chemicals under normal operating/working conditions must receive training in assessing potential chemical hazards.  </w:t>
      </w:r>
      <w:r w:rsidR="00F46434" w:rsidRPr="00F46434">
        <w:rPr>
          <w:sz w:val="22"/>
          <w:szCs w:val="20"/>
        </w:rPr>
        <w:t>Hazard Communication (HAZCOM) training</w:t>
      </w:r>
      <w:r w:rsidR="002B4501" w:rsidRPr="00F46434">
        <w:rPr>
          <w:sz w:val="22"/>
          <w:szCs w:val="20"/>
        </w:rPr>
        <w:t xml:space="preserve"> will be </w:t>
      </w:r>
      <w:r w:rsidR="00F46434" w:rsidRPr="00F46434">
        <w:rPr>
          <w:sz w:val="22"/>
          <w:szCs w:val="20"/>
        </w:rPr>
        <w:t xml:space="preserve">provided at the Reception Diagnostic Centers </w:t>
      </w:r>
      <w:r w:rsidR="00F46434">
        <w:rPr>
          <w:sz w:val="22"/>
          <w:szCs w:val="20"/>
        </w:rPr>
        <w:t xml:space="preserve">and </w:t>
      </w:r>
      <w:r w:rsidR="002B4501" w:rsidRPr="00F46434">
        <w:rPr>
          <w:sz w:val="22"/>
          <w:szCs w:val="20"/>
        </w:rPr>
        <w:t xml:space="preserve">reviewed by all current incarcerated workers. </w:t>
      </w:r>
    </w:p>
    <w:p w:rsidR="00CA6C00" w:rsidRDefault="009978AB" w:rsidP="00F46434">
      <w:pPr>
        <w:spacing w:after="240"/>
        <w:rPr>
          <w:b/>
          <w:sz w:val="20"/>
          <w:szCs w:val="20"/>
          <w:u w:val="single"/>
        </w:rPr>
        <w:sectPr w:rsidR="00CA6C00" w:rsidSect="009978AB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46434">
        <w:rPr>
          <w:sz w:val="22"/>
          <w:szCs w:val="20"/>
        </w:rPr>
        <w:t xml:space="preserve">The Department of Labor and Industries has adopted rules, as required by </w:t>
      </w:r>
      <w:r w:rsidR="00F46434">
        <w:rPr>
          <w:sz w:val="22"/>
          <w:szCs w:val="20"/>
        </w:rPr>
        <w:t xml:space="preserve">the </w:t>
      </w:r>
      <w:r w:rsidRPr="00F46434">
        <w:rPr>
          <w:sz w:val="22"/>
          <w:szCs w:val="20"/>
        </w:rPr>
        <w:t>federal Occupational Safety and Health Administration (OSHA), to incorporate</w:t>
      </w:r>
      <w:r w:rsidR="00F46434">
        <w:rPr>
          <w:sz w:val="22"/>
          <w:szCs w:val="20"/>
        </w:rPr>
        <w:t xml:space="preserve"> the Globally Harmonized System</w:t>
      </w:r>
      <w:r w:rsidRPr="00F46434">
        <w:rPr>
          <w:sz w:val="22"/>
          <w:szCs w:val="20"/>
        </w:rPr>
        <w:t xml:space="preserve"> of Classification and Labeling of Chemicals.  This handout outlines the OSHA</w:t>
      </w:r>
      <w:r w:rsidR="00F46434">
        <w:rPr>
          <w:sz w:val="22"/>
          <w:szCs w:val="20"/>
        </w:rPr>
        <w:t xml:space="preserve"> Hazard Communication Standard (HCS)</w:t>
      </w:r>
      <w:r w:rsidRPr="00F46434">
        <w:rPr>
          <w:sz w:val="22"/>
          <w:szCs w:val="20"/>
        </w:rPr>
        <w:t xml:space="preserve">, including </w:t>
      </w:r>
      <w:r w:rsidR="00F46434">
        <w:rPr>
          <w:sz w:val="22"/>
          <w:szCs w:val="20"/>
        </w:rPr>
        <w:t>chemical label and Safety Data Sheet (SDS</w:t>
      </w:r>
      <w:r w:rsidRPr="00F46434">
        <w:rPr>
          <w:sz w:val="22"/>
          <w:szCs w:val="20"/>
        </w:rPr>
        <w:t>)</w:t>
      </w:r>
      <w:r w:rsidR="00F46434">
        <w:rPr>
          <w:sz w:val="22"/>
          <w:szCs w:val="20"/>
        </w:rPr>
        <w:t xml:space="preserve"> guidelines</w:t>
      </w:r>
      <w:r w:rsidR="00F46434" w:rsidRPr="00F46434">
        <w:rPr>
          <w:sz w:val="22"/>
          <w:szCs w:val="20"/>
        </w:rPr>
        <w:t>.</w:t>
      </w:r>
      <w:r w:rsidR="00F46434">
        <w:rPr>
          <w:b/>
          <w:sz w:val="20"/>
          <w:szCs w:val="20"/>
          <w:u w:val="single"/>
        </w:rPr>
        <w:t xml:space="preserve">  </w:t>
      </w:r>
    </w:p>
    <w:p w:rsidR="004A1BDC" w:rsidRPr="00CA6C00" w:rsidRDefault="00CA6C00" w:rsidP="002B4501">
      <w:pPr>
        <w:spacing w:after="120"/>
        <w:rPr>
          <w:b/>
          <w:sz w:val="20"/>
          <w:szCs w:val="20"/>
          <w:u w:val="single"/>
        </w:rPr>
      </w:pPr>
      <w:r w:rsidRPr="00CA6C00">
        <w:rPr>
          <w:b/>
          <w:sz w:val="20"/>
          <w:szCs w:val="20"/>
          <w:u w:val="single"/>
        </w:rPr>
        <w:t>Labeling Guidelines</w:t>
      </w:r>
    </w:p>
    <w:p w:rsidR="002B4501" w:rsidRDefault="00CA6C00" w:rsidP="00F46434">
      <w:pPr>
        <w:pStyle w:val="ListParagraph"/>
        <w:numPr>
          <w:ilvl w:val="0"/>
          <w:numId w:val="1"/>
        </w:numPr>
        <w:spacing w:after="120"/>
        <w:ind w:left="540"/>
        <w:rPr>
          <w:sz w:val="20"/>
          <w:szCs w:val="20"/>
        </w:rPr>
      </w:pPr>
      <w:r w:rsidRPr="00CA6C00">
        <w:rPr>
          <w:b/>
          <w:sz w:val="20"/>
          <w:szCs w:val="20"/>
        </w:rPr>
        <w:t>Product identifier: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A6C00">
        <w:rPr>
          <w:sz w:val="20"/>
          <w:szCs w:val="20"/>
        </w:rPr>
        <w:t>The product/chemical label must include the same name of the product/</w:t>
      </w:r>
      <w:r w:rsidR="00F46434">
        <w:rPr>
          <w:sz w:val="20"/>
          <w:szCs w:val="20"/>
        </w:rPr>
        <w:t xml:space="preserve"> </w:t>
      </w:r>
      <w:r w:rsidRPr="00CA6C00">
        <w:rPr>
          <w:sz w:val="20"/>
          <w:szCs w:val="20"/>
        </w:rPr>
        <w:t>chemical or the manufacturer identification number that is used on the SDS</w:t>
      </w:r>
      <w:r>
        <w:rPr>
          <w:sz w:val="20"/>
          <w:szCs w:val="20"/>
        </w:rPr>
        <w:t>.</w:t>
      </w:r>
    </w:p>
    <w:p w:rsidR="00CA6C00" w:rsidRDefault="00CA6C00" w:rsidP="00F46434">
      <w:pPr>
        <w:pStyle w:val="ListParagraph"/>
        <w:numPr>
          <w:ilvl w:val="0"/>
          <w:numId w:val="1"/>
        </w:numPr>
        <w:spacing w:after="120"/>
        <w:ind w:left="540"/>
        <w:rPr>
          <w:sz w:val="20"/>
          <w:szCs w:val="20"/>
        </w:rPr>
      </w:pPr>
      <w:r w:rsidRPr="00CA6C00">
        <w:rPr>
          <w:b/>
          <w:sz w:val="20"/>
          <w:szCs w:val="20"/>
        </w:rPr>
        <w:t>Pictogram(s):</w:t>
      </w:r>
      <w:r>
        <w:rPr>
          <w:sz w:val="20"/>
          <w:szCs w:val="20"/>
        </w:rPr>
        <w:t xml:space="preserve">  </w:t>
      </w:r>
      <w:r w:rsidRPr="00CA6C00">
        <w:rPr>
          <w:sz w:val="20"/>
          <w:szCs w:val="20"/>
        </w:rPr>
        <w:t>Pictures that visually identify the hazard associated with the chemical.  Below is a list of recognized pictograms and the hazards they depict.</w:t>
      </w:r>
    </w:p>
    <w:p w:rsidR="00CA6C00" w:rsidRDefault="00CA6C00" w:rsidP="00F46434">
      <w:pPr>
        <w:pStyle w:val="ListParagraph"/>
        <w:numPr>
          <w:ilvl w:val="0"/>
          <w:numId w:val="1"/>
        </w:numPr>
        <w:spacing w:after="120"/>
        <w:ind w:left="540"/>
        <w:rPr>
          <w:sz w:val="20"/>
          <w:szCs w:val="20"/>
        </w:rPr>
      </w:pPr>
      <w:r>
        <w:rPr>
          <w:b/>
          <w:sz w:val="20"/>
          <w:szCs w:val="20"/>
        </w:rPr>
        <w:t>Signal word:</w:t>
      </w:r>
      <w:r>
        <w:rPr>
          <w:sz w:val="20"/>
          <w:szCs w:val="20"/>
        </w:rPr>
        <w:t xml:space="preserve">  </w:t>
      </w:r>
      <w:r w:rsidRPr="00CA6C00">
        <w:rPr>
          <w:sz w:val="20"/>
          <w:szCs w:val="20"/>
        </w:rPr>
        <w:t>“Warning” or “Danger” will be used to emphasize hazards and indicate the relative level of severity of the hazard.  Some lower level hazard categories do not use signal words.</w:t>
      </w:r>
    </w:p>
    <w:p w:rsidR="00CA6C00" w:rsidRDefault="00CA6C00" w:rsidP="00F46434">
      <w:pPr>
        <w:pStyle w:val="ListParagraph"/>
        <w:numPr>
          <w:ilvl w:val="0"/>
          <w:numId w:val="1"/>
        </w:numPr>
        <w:spacing w:after="120"/>
        <w:ind w:left="540"/>
        <w:rPr>
          <w:sz w:val="20"/>
          <w:szCs w:val="20"/>
        </w:rPr>
      </w:pPr>
      <w:r>
        <w:rPr>
          <w:b/>
          <w:sz w:val="20"/>
          <w:szCs w:val="20"/>
        </w:rPr>
        <w:t>Hazard statement(s):</w:t>
      </w:r>
      <w:r>
        <w:rPr>
          <w:sz w:val="20"/>
          <w:szCs w:val="20"/>
        </w:rPr>
        <w:t xml:space="preserve">  </w:t>
      </w:r>
      <w:r w:rsidRPr="00CA6C00">
        <w:rPr>
          <w:sz w:val="20"/>
          <w:szCs w:val="20"/>
        </w:rPr>
        <w:t>Standard phrases that describe the nature of the hazard</w:t>
      </w:r>
      <w:r>
        <w:rPr>
          <w:sz w:val="20"/>
          <w:szCs w:val="20"/>
        </w:rPr>
        <w:t>.</w:t>
      </w:r>
    </w:p>
    <w:p w:rsidR="00CA6C00" w:rsidRDefault="00CA6C00" w:rsidP="00F46434">
      <w:pPr>
        <w:pStyle w:val="ListParagraph"/>
        <w:numPr>
          <w:ilvl w:val="0"/>
          <w:numId w:val="1"/>
        </w:numPr>
        <w:spacing w:after="120"/>
        <w:ind w:left="540"/>
        <w:rPr>
          <w:sz w:val="20"/>
          <w:szCs w:val="20"/>
        </w:rPr>
      </w:pPr>
      <w:r>
        <w:rPr>
          <w:b/>
          <w:sz w:val="20"/>
          <w:szCs w:val="20"/>
        </w:rPr>
        <w:t>Precautionary statement(s):</w:t>
      </w:r>
      <w:r>
        <w:rPr>
          <w:sz w:val="20"/>
          <w:szCs w:val="20"/>
        </w:rPr>
        <w:t xml:space="preserve">  </w:t>
      </w:r>
      <w:r w:rsidRPr="00CA6C00">
        <w:rPr>
          <w:sz w:val="20"/>
          <w:szCs w:val="20"/>
        </w:rPr>
        <w:t xml:space="preserve">Statement(s) indicating the type of protective equipment that should be used when working with the chemical or advising </w:t>
      </w:r>
      <w:r>
        <w:rPr>
          <w:sz w:val="20"/>
          <w:szCs w:val="20"/>
        </w:rPr>
        <w:t xml:space="preserve">of </w:t>
      </w:r>
      <w:r w:rsidRPr="00CA6C00">
        <w:rPr>
          <w:sz w:val="20"/>
          <w:szCs w:val="20"/>
        </w:rPr>
        <w:t>storage requirements</w:t>
      </w:r>
      <w:r>
        <w:rPr>
          <w:sz w:val="20"/>
          <w:szCs w:val="20"/>
        </w:rPr>
        <w:t>.</w:t>
      </w:r>
    </w:p>
    <w:p w:rsidR="00CA6C00" w:rsidRPr="00CA6C00" w:rsidRDefault="00CA6C00" w:rsidP="00F46434">
      <w:pPr>
        <w:pStyle w:val="ListParagraph"/>
        <w:numPr>
          <w:ilvl w:val="0"/>
          <w:numId w:val="1"/>
        </w:numPr>
        <w:spacing w:after="120"/>
        <w:ind w:left="540"/>
        <w:rPr>
          <w:sz w:val="20"/>
          <w:szCs w:val="20"/>
        </w:rPr>
      </w:pPr>
      <w:r>
        <w:rPr>
          <w:b/>
          <w:sz w:val="20"/>
          <w:szCs w:val="20"/>
        </w:rPr>
        <w:t>Name, address, and telephone number:</w:t>
      </w:r>
      <w:r>
        <w:rPr>
          <w:sz w:val="20"/>
          <w:szCs w:val="20"/>
        </w:rPr>
        <w:t xml:space="preserve">  Refer to the SDS</w:t>
      </w:r>
      <w:r w:rsidR="00F46434">
        <w:rPr>
          <w:sz w:val="20"/>
          <w:szCs w:val="20"/>
        </w:rPr>
        <w:t>.</w:t>
      </w:r>
    </w:p>
    <w:p w:rsidR="00CA6C00" w:rsidRPr="00CA6C00" w:rsidRDefault="00CA6C00" w:rsidP="002B4501">
      <w:pPr>
        <w:spacing w:after="120"/>
        <w:rPr>
          <w:b/>
          <w:sz w:val="20"/>
          <w:szCs w:val="20"/>
          <w:u w:val="single"/>
        </w:rPr>
      </w:pPr>
      <w:r w:rsidRPr="00CA6C00">
        <w:rPr>
          <w:b/>
          <w:sz w:val="20"/>
          <w:szCs w:val="20"/>
          <w:u w:val="single"/>
        </w:rPr>
        <w:t>Sample Label</w:t>
      </w:r>
    </w:p>
    <w:p w:rsidR="002B4501" w:rsidRDefault="00CA6C00" w:rsidP="002B4501">
      <w:pPr>
        <w:spacing w:after="120"/>
        <w:rPr>
          <w:sz w:val="20"/>
          <w:szCs w:val="20"/>
        </w:rPr>
      </w:pPr>
      <w:r w:rsidRPr="00AC55CC">
        <w:rPr>
          <w:noProof/>
          <w:sz w:val="20"/>
          <w:szCs w:val="20"/>
        </w:rPr>
        <w:drawing>
          <wp:inline distT="0" distB="0" distL="0" distR="0" wp14:anchorId="2CF5C952" wp14:editId="6C391405">
            <wp:extent cx="3240980" cy="2976410"/>
            <wp:effectExtent l="0" t="0" r="0" b="0"/>
            <wp:docPr id="4" name="Picture 4" descr="http://www.safetyservicescompany.com/blog/wp-content/uploads/2013/05/GHS-Label-Elements-cropped-1024x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fetyservicescompany.com/blog/wp-content/uploads/2013/05/GHS-Label-Elements-cropped-1024x8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0" cy="29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C00" w:rsidRDefault="00CA6C00" w:rsidP="00F46434">
      <w:pPr>
        <w:rPr>
          <w:sz w:val="20"/>
          <w:szCs w:val="20"/>
        </w:rPr>
        <w:sectPr w:rsidR="00CA6C00" w:rsidSect="00CA6C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70949" w:rsidRPr="00F74F7B" w:rsidRDefault="00F46434" w:rsidP="00F46434">
      <w:pPr>
        <w:spacing w:before="120" w:after="12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HCS</w:t>
      </w:r>
      <w:r w:rsidR="00F74F7B">
        <w:rPr>
          <w:b/>
          <w:sz w:val="20"/>
          <w:szCs w:val="20"/>
          <w:u w:val="single"/>
        </w:rPr>
        <w:t xml:space="preserve"> Pictograms and Hazards:</w:t>
      </w:r>
    </w:p>
    <w:p w:rsidR="00F46434" w:rsidRDefault="00B70949" w:rsidP="00D81C81">
      <w:pPr>
        <w:spacing w:after="1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C28815F" wp14:editId="08F7E425">
            <wp:extent cx="5113020" cy="3040014"/>
            <wp:effectExtent l="0" t="0" r="0" b="8255"/>
            <wp:docPr id="5" name="il_fi" descr="http://www.masc.sc/SiteCollectionImages/hazard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sc.sc/SiteCollectionImages/hazard_b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3"/>
                    <a:stretch/>
                  </pic:blipFill>
                  <pic:spPr bwMode="auto">
                    <a:xfrm>
                      <a:off x="0" y="0"/>
                      <a:ext cx="5120640" cy="30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434" w:rsidRPr="00CB49AE" w:rsidRDefault="00F46434" w:rsidP="00CB49AE">
      <w:pPr>
        <w:spacing w:after="120"/>
        <w:rPr>
          <w:b/>
          <w:sz w:val="22"/>
          <w:szCs w:val="20"/>
          <w:u w:val="single"/>
        </w:rPr>
      </w:pPr>
      <w:r w:rsidRPr="00CB49AE">
        <w:rPr>
          <w:b/>
          <w:sz w:val="22"/>
          <w:szCs w:val="20"/>
          <w:u w:val="single"/>
        </w:rPr>
        <w:lastRenderedPageBreak/>
        <w:t>Each SDS will have the following 16 sections, in order: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Identification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2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Hazard(s) identification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3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Composition/information on ingredients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4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First aid measures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5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Firefighting measures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6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Accidental release measures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7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Handling and storage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8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Exposure controls/personal protection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9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Physical and chemical properties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10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Stability and reactivity</w:t>
      </w:r>
    </w:p>
    <w:p w:rsidR="00D81C81" w:rsidRPr="00CB49AE" w:rsidRDefault="00D81C81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11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 w:rsidR="00CB49AE">
        <w:rPr>
          <w:sz w:val="22"/>
          <w:szCs w:val="20"/>
        </w:rPr>
        <w:tab/>
      </w:r>
      <w:r w:rsidRPr="00CB49AE">
        <w:rPr>
          <w:sz w:val="22"/>
          <w:szCs w:val="20"/>
        </w:rPr>
        <w:t>Toxicological information</w:t>
      </w:r>
    </w:p>
    <w:p w:rsidR="00CB49AE" w:rsidRPr="00CB49AE" w:rsidRDefault="00CB49AE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12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>Ecological information</w:t>
      </w:r>
    </w:p>
    <w:p w:rsidR="00CB49AE" w:rsidRPr="00CB49AE" w:rsidRDefault="00CB49AE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13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>Disposal considerations</w:t>
      </w:r>
    </w:p>
    <w:p w:rsidR="00CB49AE" w:rsidRPr="00CB49AE" w:rsidRDefault="00CB49AE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14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>Transport information</w:t>
      </w:r>
    </w:p>
    <w:p w:rsidR="00CB49AE" w:rsidRPr="00CB49AE" w:rsidRDefault="00CB49AE" w:rsidP="00CB49AE">
      <w:pPr>
        <w:tabs>
          <w:tab w:val="left" w:pos="1260"/>
          <w:tab w:val="left" w:pos="1620"/>
        </w:tabs>
        <w:spacing w:after="6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15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>Regulatory information</w:t>
      </w:r>
    </w:p>
    <w:p w:rsidR="00CB49AE" w:rsidRDefault="00CB49AE" w:rsidP="00CB49AE">
      <w:pPr>
        <w:tabs>
          <w:tab w:val="left" w:pos="1260"/>
          <w:tab w:val="left" w:pos="1620"/>
        </w:tabs>
        <w:spacing w:after="20"/>
        <w:rPr>
          <w:sz w:val="22"/>
          <w:szCs w:val="20"/>
        </w:rPr>
      </w:pPr>
      <w:r w:rsidRPr="00CB49AE">
        <w:rPr>
          <w:sz w:val="22"/>
          <w:szCs w:val="20"/>
        </w:rPr>
        <w:t xml:space="preserve">Section 16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 xml:space="preserve">- </w:t>
      </w:r>
      <w:r>
        <w:rPr>
          <w:sz w:val="22"/>
          <w:szCs w:val="20"/>
        </w:rPr>
        <w:tab/>
      </w:r>
      <w:r w:rsidRPr="00CB49AE">
        <w:rPr>
          <w:sz w:val="22"/>
          <w:szCs w:val="20"/>
        </w:rPr>
        <w:t>Other information, including date of preparation/last revision</w:t>
      </w:r>
    </w:p>
    <w:p w:rsidR="00CB49AE" w:rsidRDefault="00CB49AE" w:rsidP="00CB49AE">
      <w:pPr>
        <w:spacing w:after="20"/>
        <w:rPr>
          <w:sz w:val="22"/>
          <w:szCs w:val="20"/>
        </w:rPr>
      </w:pPr>
    </w:p>
    <w:p w:rsidR="00CB49AE" w:rsidRDefault="00CB49AE" w:rsidP="00CB49AE">
      <w:pPr>
        <w:spacing w:after="20"/>
        <w:rPr>
          <w:sz w:val="22"/>
          <w:szCs w:val="20"/>
        </w:rPr>
      </w:pPr>
    </w:p>
    <w:p w:rsidR="00CB49AE" w:rsidRPr="00CB49AE" w:rsidRDefault="00CB49AE" w:rsidP="00CB49AE">
      <w:pPr>
        <w:spacing w:after="480"/>
        <w:rPr>
          <w:b/>
          <w:sz w:val="22"/>
          <w:szCs w:val="20"/>
        </w:rPr>
      </w:pPr>
      <w:r w:rsidRPr="00CB49AE">
        <w:rPr>
          <w:b/>
          <w:sz w:val="22"/>
          <w:szCs w:val="20"/>
        </w:rPr>
        <w:t>I have been briefed on, read, and understand the chemical label and SDS guidelines.</w:t>
      </w:r>
    </w:p>
    <w:p w:rsidR="00CB49AE" w:rsidRPr="00CB6BED" w:rsidRDefault="00CB49AE" w:rsidP="00CB49AE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bookmarkStart w:id="1" w:name="_GoBack"/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bookmarkEnd w:id="1"/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:rsidR="00CB49AE" w:rsidRDefault="00CB49AE" w:rsidP="00CB49AE">
      <w:pPr>
        <w:tabs>
          <w:tab w:val="left" w:pos="4680"/>
          <w:tab w:val="left" w:pos="9090"/>
        </w:tabs>
        <w:spacing w:after="240"/>
        <w:jc w:val="both"/>
      </w:pPr>
      <w:r w:rsidRPr="00CB6BED">
        <w:t>Name</w:t>
      </w:r>
      <w:r>
        <w:t xml:space="preserve"> and DOC number</w:t>
      </w:r>
      <w:r w:rsidRPr="00CB6BED">
        <w:tab/>
        <w:t>Signature</w:t>
      </w:r>
      <w:r>
        <w:tab/>
      </w:r>
      <w:r w:rsidRPr="00CB6BED">
        <w:t>Date</w:t>
      </w:r>
    </w:p>
    <w:p w:rsidR="00CB49AE" w:rsidRDefault="00CB49AE" w:rsidP="00CB49AE">
      <w:pPr>
        <w:spacing w:after="240"/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CB49AE" w:rsidRPr="00CB49AE" w:rsidRDefault="00CB49AE" w:rsidP="00CB49AE">
      <w:pPr>
        <w:spacing w:after="20"/>
        <w:rPr>
          <w:sz w:val="22"/>
          <w:szCs w:val="20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Supervisor</w:t>
      </w:r>
    </w:p>
    <w:sectPr w:rsidR="00CB49AE" w:rsidRPr="00CB49AE" w:rsidSect="00CA6C0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34" w:rsidRDefault="00F46434" w:rsidP="00F46434">
      <w:r>
        <w:separator/>
      </w:r>
    </w:p>
  </w:endnote>
  <w:endnote w:type="continuationSeparator" w:id="0">
    <w:p w:rsidR="00F46434" w:rsidRDefault="00F46434" w:rsidP="00F4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0995695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6434" w:rsidRPr="00F46434" w:rsidRDefault="00F46434" w:rsidP="006F39B3">
            <w:pPr>
              <w:pStyle w:val="Footer"/>
              <w:tabs>
                <w:tab w:val="clear" w:pos="4680"/>
                <w:tab w:val="clear" w:pos="9360"/>
                <w:tab w:val="center" w:pos="522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DOC 21-565 (Rev. </w:t>
            </w:r>
            <w:r w:rsidR="004E6BC4">
              <w:rPr>
                <w:sz w:val="20"/>
              </w:rPr>
              <w:t>07</w:t>
            </w:r>
            <w:r>
              <w:rPr>
                <w:sz w:val="20"/>
              </w:rPr>
              <w:t>/</w:t>
            </w:r>
            <w:r w:rsidR="004E6BC4">
              <w:rPr>
                <w:sz w:val="20"/>
              </w:rPr>
              <w:t>10</w:t>
            </w:r>
            <w:r>
              <w:rPr>
                <w:sz w:val="20"/>
              </w:rPr>
              <w:t>/20)</w:t>
            </w:r>
            <w:r>
              <w:rPr>
                <w:sz w:val="20"/>
              </w:rPr>
              <w:tab/>
            </w:r>
            <w:r w:rsidRPr="00F46434">
              <w:rPr>
                <w:sz w:val="20"/>
              </w:rPr>
              <w:t xml:space="preserve">Page </w:t>
            </w:r>
            <w:r w:rsidRPr="00F46434">
              <w:rPr>
                <w:bCs/>
                <w:sz w:val="20"/>
              </w:rPr>
              <w:fldChar w:fldCharType="begin"/>
            </w:r>
            <w:r w:rsidRPr="00F46434">
              <w:rPr>
                <w:bCs/>
                <w:sz w:val="20"/>
              </w:rPr>
              <w:instrText xml:space="preserve"> PAGE </w:instrText>
            </w:r>
            <w:r w:rsidRPr="00F46434">
              <w:rPr>
                <w:bCs/>
                <w:sz w:val="20"/>
              </w:rPr>
              <w:fldChar w:fldCharType="separate"/>
            </w:r>
            <w:r w:rsidR="004E6BC4">
              <w:rPr>
                <w:bCs/>
                <w:noProof/>
                <w:sz w:val="20"/>
              </w:rPr>
              <w:t>2</w:t>
            </w:r>
            <w:r w:rsidRPr="00F46434">
              <w:rPr>
                <w:bCs/>
                <w:sz w:val="20"/>
              </w:rPr>
              <w:fldChar w:fldCharType="end"/>
            </w:r>
            <w:r w:rsidRPr="00F46434">
              <w:rPr>
                <w:sz w:val="20"/>
              </w:rPr>
              <w:t xml:space="preserve"> of </w:t>
            </w:r>
            <w:r w:rsidRPr="00F46434">
              <w:rPr>
                <w:bCs/>
                <w:sz w:val="20"/>
              </w:rPr>
              <w:fldChar w:fldCharType="begin"/>
            </w:r>
            <w:r w:rsidRPr="00F46434">
              <w:rPr>
                <w:bCs/>
                <w:sz w:val="20"/>
              </w:rPr>
              <w:instrText xml:space="preserve"> NUMPAGES  </w:instrText>
            </w:r>
            <w:r w:rsidRPr="00F46434">
              <w:rPr>
                <w:bCs/>
                <w:sz w:val="20"/>
              </w:rPr>
              <w:fldChar w:fldCharType="separate"/>
            </w:r>
            <w:r w:rsidR="004E6BC4">
              <w:rPr>
                <w:bCs/>
                <w:noProof/>
                <w:sz w:val="20"/>
              </w:rPr>
              <w:t>2</w:t>
            </w:r>
            <w:r w:rsidRPr="00F46434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  <w:t>DOC 890.070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34" w:rsidRDefault="00F46434" w:rsidP="00F46434">
      <w:r>
        <w:separator/>
      </w:r>
    </w:p>
  </w:footnote>
  <w:footnote w:type="continuationSeparator" w:id="0">
    <w:p w:rsidR="00F46434" w:rsidRDefault="00F46434" w:rsidP="00F4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1C9"/>
    <w:multiLevelType w:val="hybridMultilevel"/>
    <w:tmpl w:val="C4E0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FC8"/>
    <w:multiLevelType w:val="hybridMultilevel"/>
    <w:tmpl w:val="18A2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cumentProtection w:edit="forms" w:enforcement="1" w:cryptProviderType="rsaAES" w:cryptAlgorithmClass="hash" w:cryptAlgorithmType="typeAny" w:cryptAlgorithmSid="14" w:cryptSpinCount="100000" w:hash="KUgU+djCHi2IDGy8FSzlnNH0FVWy1fasmWObpYRdkiLwmYksik1KGoVNNJwhBAthhgWpcP5AWOjx5zwCr12vMw==" w:salt="T7RP4LPkGrGaxeS4KssT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B"/>
    <w:rsid w:val="002B4501"/>
    <w:rsid w:val="004A1BDC"/>
    <w:rsid w:val="004E6BC4"/>
    <w:rsid w:val="00635C65"/>
    <w:rsid w:val="006F39B3"/>
    <w:rsid w:val="009978AB"/>
    <w:rsid w:val="00AA4A58"/>
    <w:rsid w:val="00B70949"/>
    <w:rsid w:val="00C14FE8"/>
    <w:rsid w:val="00C816D4"/>
    <w:rsid w:val="00CA6C00"/>
    <w:rsid w:val="00CB49AE"/>
    <w:rsid w:val="00D81C81"/>
    <w:rsid w:val="00F46434"/>
    <w:rsid w:val="00F7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4B9E9-FCAB-423C-BEAD-0B90BD0D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A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3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3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65CD4-F27E-4A19-9D64-28588D8C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3</cp:revision>
  <dcterms:created xsi:type="dcterms:W3CDTF">2020-05-06T17:53:00Z</dcterms:created>
  <dcterms:modified xsi:type="dcterms:W3CDTF">2020-06-08T21:05:00Z</dcterms:modified>
</cp:coreProperties>
</file>