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19BE" w14:textId="69CEE50F" w:rsidR="006C030B" w:rsidRPr="00211493" w:rsidRDefault="00B11E0C" w:rsidP="00713CEB">
      <w:pPr>
        <w:jc w:val="right"/>
        <w:rPr>
          <w:b/>
          <w:bCs/>
          <w:sz w:val="28"/>
          <w:szCs w:val="28"/>
          <w:lang w:val="en-US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756F3463" wp14:editId="74C21FA2">
            <wp:simplePos x="0" y="0"/>
            <wp:positionH relativeFrom="margin">
              <wp:posOffset>19050</wp:posOffset>
            </wp:positionH>
            <wp:positionV relativeFrom="paragraph">
              <wp:posOffset>-113030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493">
        <w:rPr>
          <w:b/>
          <w:bCs/>
          <w:sz w:val="28"/>
          <w:szCs w:val="28"/>
          <w:lang w:val="en-US"/>
        </w:rPr>
        <w:t>ACKNOWLEDGMENT OF COMMUNITY CUSTODY</w:t>
      </w:r>
    </w:p>
    <w:p w14:paraId="32EA834A" w14:textId="7083EDD3" w:rsidR="00B11E0C" w:rsidRPr="00211493" w:rsidRDefault="00B11E0C" w:rsidP="00713CEB">
      <w:pPr>
        <w:jc w:val="right"/>
        <w:rPr>
          <w:b/>
          <w:bCs/>
          <w:sz w:val="28"/>
          <w:szCs w:val="28"/>
          <w:lang w:val="en-US"/>
        </w:rPr>
      </w:pPr>
      <w:r w:rsidRPr="00211493">
        <w:rPr>
          <w:b/>
          <w:bCs/>
          <w:sz w:val="28"/>
          <w:szCs w:val="28"/>
          <w:lang w:val="en-US"/>
        </w:rPr>
        <w:t>SUPERVISION COMPLIANCE CREDIT</w:t>
      </w:r>
    </w:p>
    <w:p w14:paraId="1A31217D" w14:textId="3A368660" w:rsidR="00310119" w:rsidRPr="008909EC" w:rsidRDefault="00310119" w:rsidP="00713CEB">
      <w:pPr>
        <w:jc w:val="right"/>
        <w:rPr>
          <w:b/>
          <w:bCs/>
          <w:i/>
          <w:iCs/>
          <w:sz w:val="28"/>
          <w:szCs w:val="28"/>
        </w:rPr>
      </w:pPr>
      <w:r w:rsidRPr="008909EC">
        <w:rPr>
          <w:b/>
          <w:bCs/>
          <w:i/>
          <w:iCs/>
          <w:sz w:val="28"/>
          <w:szCs w:val="28"/>
        </w:rPr>
        <w:t>RECONOCIMIENTO DE CRÉDITO DE SUPERVISIÓN DE</w:t>
      </w:r>
    </w:p>
    <w:p w14:paraId="69DE8489" w14:textId="2EAD28AB" w:rsidR="00310119" w:rsidRPr="008909EC" w:rsidRDefault="00310119" w:rsidP="00713CEB">
      <w:pPr>
        <w:jc w:val="right"/>
        <w:rPr>
          <w:b/>
          <w:bCs/>
          <w:i/>
          <w:iCs/>
          <w:sz w:val="28"/>
          <w:szCs w:val="28"/>
        </w:rPr>
      </w:pPr>
      <w:r w:rsidRPr="008909EC">
        <w:rPr>
          <w:b/>
          <w:bCs/>
          <w:i/>
          <w:iCs/>
          <w:sz w:val="28"/>
          <w:szCs w:val="28"/>
        </w:rPr>
        <w:t>CUMPLIMIENTO DE LA CUSTODIA COMUNITARIA</w:t>
      </w:r>
    </w:p>
    <w:p w14:paraId="20593ACA" w14:textId="77777777" w:rsidR="00310119" w:rsidRPr="00F92D7D" w:rsidRDefault="00310119" w:rsidP="00A97E6A">
      <w:pPr>
        <w:rPr>
          <w:rFonts w:ascii="Arial Bold" w:hAnsi="Arial Bold"/>
          <w:sz w:val="16"/>
          <w:szCs w:val="28"/>
        </w:rPr>
      </w:pPr>
    </w:p>
    <w:p w14:paraId="746EA63E" w14:textId="501100A7" w:rsidR="00B11E0C" w:rsidRDefault="00B11E0C" w:rsidP="00A97E6A">
      <w:pPr>
        <w:tabs>
          <w:tab w:val="left" w:pos="3600"/>
          <w:tab w:val="left" w:pos="3870"/>
          <w:tab w:val="left" w:pos="6480"/>
          <w:tab w:val="left" w:pos="6750"/>
          <w:tab w:val="right" w:pos="10800"/>
        </w:tabs>
        <w:rPr>
          <w:szCs w:val="24"/>
          <w:u w:val="single"/>
        </w:rPr>
      </w:pPr>
      <w:r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0"/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3752E59A" w14:textId="079F761F" w:rsidR="00B11E0C" w:rsidRPr="00211493" w:rsidRDefault="00B11E0C" w:rsidP="001C1F3A">
      <w:pPr>
        <w:tabs>
          <w:tab w:val="left" w:pos="3870"/>
          <w:tab w:val="left" w:pos="6750"/>
        </w:tabs>
        <w:rPr>
          <w:szCs w:val="24"/>
          <w:lang w:val="en-US"/>
        </w:rPr>
      </w:pPr>
      <w:r w:rsidRPr="00211493">
        <w:rPr>
          <w:szCs w:val="24"/>
          <w:lang w:val="en-US"/>
        </w:rPr>
        <w:t>Name</w:t>
      </w:r>
      <w:r w:rsidR="00310119" w:rsidRPr="00211493">
        <w:rPr>
          <w:szCs w:val="24"/>
          <w:lang w:val="en-US"/>
        </w:rPr>
        <w:t>/</w:t>
      </w:r>
      <w:r w:rsidR="00310119" w:rsidRPr="00211493">
        <w:rPr>
          <w:i/>
          <w:iCs/>
          <w:szCs w:val="24"/>
          <w:lang w:val="en-US"/>
        </w:rPr>
        <w:t>Nombre</w:t>
      </w:r>
      <w:r w:rsidR="00F92D7D" w:rsidRPr="00211493">
        <w:rPr>
          <w:i/>
          <w:iCs/>
          <w:szCs w:val="24"/>
          <w:lang w:val="en-US"/>
        </w:rPr>
        <w:tab/>
      </w:r>
      <w:r w:rsidRPr="00211493">
        <w:rPr>
          <w:szCs w:val="24"/>
          <w:lang w:val="en-US"/>
        </w:rPr>
        <w:t>DOC number</w:t>
      </w:r>
      <w:r w:rsidR="00310119" w:rsidRPr="00211493">
        <w:rPr>
          <w:szCs w:val="24"/>
          <w:lang w:val="en-US"/>
        </w:rPr>
        <w:t>/</w:t>
      </w:r>
      <w:r w:rsidR="00310119" w:rsidRPr="00211493">
        <w:rPr>
          <w:i/>
          <w:iCs/>
          <w:szCs w:val="24"/>
          <w:lang w:val="en-US"/>
        </w:rPr>
        <w:t xml:space="preserve">DOC </w:t>
      </w:r>
      <w:proofErr w:type="spellStart"/>
      <w:r w:rsidR="007A5B24" w:rsidRPr="00211493">
        <w:rPr>
          <w:i/>
          <w:iCs/>
          <w:szCs w:val="24"/>
          <w:lang w:val="en-US"/>
        </w:rPr>
        <w:t>n</w:t>
      </w:r>
      <w:r w:rsidR="00310119" w:rsidRPr="00211493">
        <w:rPr>
          <w:i/>
          <w:iCs/>
          <w:szCs w:val="24"/>
          <w:lang w:val="en-US"/>
        </w:rPr>
        <w:t>úm</w:t>
      </w:r>
      <w:proofErr w:type="spellEnd"/>
      <w:r w:rsidR="00310119" w:rsidRPr="00211493">
        <w:rPr>
          <w:i/>
          <w:iCs/>
          <w:szCs w:val="24"/>
          <w:lang w:val="en-US"/>
        </w:rPr>
        <w:t>.</w:t>
      </w:r>
      <w:r w:rsidR="00F92D7D" w:rsidRPr="00211493">
        <w:rPr>
          <w:i/>
          <w:iCs/>
          <w:szCs w:val="24"/>
          <w:lang w:val="en-US"/>
        </w:rPr>
        <w:tab/>
      </w:r>
      <w:r w:rsidRPr="00211493">
        <w:rPr>
          <w:szCs w:val="24"/>
          <w:lang w:val="en-US"/>
        </w:rPr>
        <w:t xml:space="preserve">Eligible </w:t>
      </w:r>
      <w:r w:rsidR="007A5B24" w:rsidRPr="00211493">
        <w:rPr>
          <w:szCs w:val="24"/>
          <w:lang w:val="en-US"/>
        </w:rPr>
        <w:t>c</w:t>
      </w:r>
      <w:r w:rsidRPr="00211493">
        <w:rPr>
          <w:szCs w:val="24"/>
          <w:lang w:val="en-US"/>
        </w:rPr>
        <w:t>ause(s)</w:t>
      </w:r>
      <w:r w:rsidR="00310119" w:rsidRPr="00211493">
        <w:rPr>
          <w:szCs w:val="24"/>
          <w:lang w:val="en-US"/>
        </w:rPr>
        <w:t>/</w:t>
      </w:r>
      <w:r w:rsidR="00310119" w:rsidRPr="00211493">
        <w:rPr>
          <w:i/>
          <w:iCs/>
          <w:szCs w:val="24"/>
          <w:lang w:val="en-US"/>
        </w:rPr>
        <w:t xml:space="preserve">Causa(s) </w:t>
      </w:r>
      <w:r w:rsidR="007A5B24" w:rsidRPr="00211493">
        <w:rPr>
          <w:i/>
          <w:iCs/>
          <w:szCs w:val="24"/>
          <w:lang w:val="en-US"/>
        </w:rPr>
        <w:t>e</w:t>
      </w:r>
      <w:r w:rsidR="00310119" w:rsidRPr="00211493">
        <w:rPr>
          <w:i/>
          <w:iCs/>
          <w:szCs w:val="24"/>
          <w:lang w:val="en-US"/>
        </w:rPr>
        <w:t>ligible(s)</w:t>
      </w:r>
    </w:p>
    <w:p w14:paraId="310CCB94" w14:textId="52EABAEA" w:rsidR="00B11E0C" w:rsidRPr="00211493" w:rsidRDefault="00B11E0C" w:rsidP="00713CEB">
      <w:pPr>
        <w:rPr>
          <w:sz w:val="12"/>
          <w:szCs w:val="12"/>
          <w:lang w:val="en-US"/>
        </w:rPr>
      </w:pPr>
    </w:p>
    <w:p w14:paraId="12118E29" w14:textId="0ADF91FC" w:rsidR="00B11E0C" w:rsidRPr="00211493" w:rsidRDefault="00B11E0C" w:rsidP="00713CEB">
      <w:pPr>
        <w:rPr>
          <w:szCs w:val="24"/>
          <w:lang w:val="en-US"/>
        </w:rPr>
      </w:pPr>
      <w:r w:rsidRPr="00211493">
        <w:rPr>
          <w:szCs w:val="24"/>
          <w:lang w:val="en-US"/>
        </w:rPr>
        <w:t xml:space="preserve">Effective June 11, 2021, the period the Department of Corrections is authorized to supervise </w:t>
      </w:r>
      <w:r w:rsidRPr="00B96998">
        <w:rPr>
          <w:szCs w:val="24"/>
          <w:lang w:val="en-US"/>
        </w:rPr>
        <w:t xml:space="preserve">individuals may be reduced by the earned award of SCC pursuant to RCW 9.94A.717.  </w:t>
      </w:r>
      <w:r w:rsidR="008909EC" w:rsidRPr="00B96998">
        <w:rPr>
          <w:szCs w:val="24"/>
          <w:lang w:val="en-US"/>
        </w:rPr>
        <w:t xml:space="preserve">As of your </w:t>
      </w:r>
      <w:r w:rsidR="007A5B24" w:rsidRPr="00B96998">
        <w:rPr>
          <w:szCs w:val="24"/>
          <w:lang w:val="en-US"/>
        </w:rPr>
        <w:t>Supervision Compliance Credit</w:t>
      </w:r>
      <w:r w:rsidRPr="00B96998">
        <w:rPr>
          <w:szCs w:val="24"/>
          <w:lang w:val="en-US"/>
        </w:rPr>
        <w:t xml:space="preserve"> </w:t>
      </w:r>
      <w:r w:rsidR="007A5B24" w:rsidRPr="00B96998">
        <w:rPr>
          <w:szCs w:val="24"/>
          <w:lang w:val="en-US"/>
        </w:rPr>
        <w:t>(</w:t>
      </w:r>
      <w:r w:rsidRPr="00B96998">
        <w:rPr>
          <w:szCs w:val="24"/>
          <w:lang w:val="en-US"/>
        </w:rPr>
        <w:t>SCC</w:t>
      </w:r>
      <w:r w:rsidR="007A5B24" w:rsidRPr="00B96998">
        <w:rPr>
          <w:szCs w:val="24"/>
          <w:lang w:val="en-US"/>
        </w:rPr>
        <w:t>)</w:t>
      </w:r>
      <w:r w:rsidRPr="00B96998">
        <w:rPr>
          <w:szCs w:val="24"/>
          <w:lang w:val="en-US"/>
        </w:rPr>
        <w:t xml:space="preserve"> start date</w:t>
      </w:r>
      <w:r w:rsidR="007A5B24" w:rsidRPr="00B96998">
        <w:rPr>
          <w:szCs w:val="24"/>
          <w:lang w:val="en-US"/>
        </w:rPr>
        <w:t xml:space="preserve"> on an eligible cause,</w:t>
      </w:r>
      <w:r w:rsidRPr="00B96998">
        <w:rPr>
          <w:szCs w:val="24"/>
          <w:lang w:val="en-US"/>
        </w:rPr>
        <w:t xml:space="preserve"> you </w:t>
      </w:r>
      <w:proofErr w:type="spellStart"/>
      <w:r w:rsidR="007A5B24" w:rsidRPr="00B96998">
        <w:rPr>
          <w:szCs w:val="24"/>
          <w:lang w:val="en-US"/>
        </w:rPr>
        <w:t>you</w:t>
      </w:r>
      <w:proofErr w:type="spellEnd"/>
      <w:r w:rsidR="007A5B24" w:rsidRPr="00B96998">
        <w:rPr>
          <w:szCs w:val="24"/>
          <w:lang w:val="en-US"/>
        </w:rPr>
        <w:t xml:space="preserve"> can </w:t>
      </w:r>
      <w:r w:rsidRPr="00B96998">
        <w:rPr>
          <w:szCs w:val="24"/>
          <w:lang w:val="en-US"/>
        </w:rPr>
        <w:t xml:space="preserve">earn 10 days of SCC each calendar month on the above listed cause(s) if you meet the SCC </w:t>
      </w:r>
      <w:r w:rsidR="007A5B24" w:rsidRPr="00B96998">
        <w:rPr>
          <w:szCs w:val="24"/>
          <w:lang w:val="en-US"/>
        </w:rPr>
        <w:t>m</w:t>
      </w:r>
      <w:r w:rsidRPr="00B96998">
        <w:rPr>
          <w:szCs w:val="24"/>
          <w:lang w:val="en-US"/>
        </w:rPr>
        <w:t xml:space="preserve">onthly </w:t>
      </w:r>
      <w:r w:rsidR="007A5B24" w:rsidRPr="00B96998">
        <w:rPr>
          <w:szCs w:val="24"/>
          <w:lang w:val="en-US"/>
        </w:rPr>
        <w:t>c</w:t>
      </w:r>
      <w:r w:rsidRPr="00B96998">
        <w:rPr>
          <w:szCs w:val="24"/>
          <w:lang w:val="en-US"/>
        </w:rPr>
        <w:t>riteria</w:t>
      </w:r>
      <w:r w:rsidR="00D66087" w:rsidRPr="00B96998">
        <w:rPr>
          <w:szCs w:val="24"/>
          <w:lang w:val="en-US"/>
        </w:rPr>
        <w:t xml:space="preserve"> listed below.  A review will be conducted monthly and if SCC is earned, your overall scheduled end</w:t>
      </w:r>
      <w:r w:rsidR="00D66087" w:rsidRPr="00211493">
        <w:rPr>
          <w:szCs w:val="24"/>
          <w:lang w:val="en-US"/>
        </w:rPr>
        <w:t xml:space="preserve"> date will be reduced by a total of 10 days, regardless of how many causes are eligible for SCC.</w:t>
      </w:r>
    </w:p>
    <w:p w14:paraId="733D216F" w14:textId="77777777" w:rsidR="00514702" w:rsidRPr="00211493" w:rsidRDefault="00514702" w:rsidP="00713CEB">
      <w:pPr>
        <w:rPr>
          <w:sz w:val="12"/>
          <w:szCs w:val="24"/>
          <w:lang w:val="en-US"/>
        </w:rPr>
      </w:pPr>
    </w:p>
    <w:p w14:paraId="11B3E500" w14:textId="7E37618A" w:rsidR="00AA05F9" w:rsidRPr="006E1D99" w:rsidRDefault="00AA05F9" w:rsidP="00713CEB">
      <w:pPr>
        <w:rPr>
          <w:i/>
          <w:iCs/>
          <w:szCs w:val="24"/>
        </w:rPr>
      </w:pPr>
      <w:r w:rsidRPr="006E1D99">
        <w:rPr>
          <w:i/>
          <w:iCs/>
          <w:szCs w:val="24"/>
        </w:rPr>
        <w:t xml:space="preserve">A partir del 11 de junio de 2021, el período que el Departamento de Correcciones está autorizado a supervisar a los individuos puede ser reducido por la concesión ganada de SCC de acuerdo con RCW 9.94A.717.  </w:t>
      </w:r>
      <w:r w:rsidR="00211493">
        <w:rPr>
          <w:i/>
          <w:iCs/>
          <w:szCs w:val="24"/>
        </w:rPr>
        <w:t>De acuerdo con</w:t>
      </w:r>
      <w:r w:rsidRPr="006E1D99">
        <w:rPr>
          <w:i/>
          <w:iCs/>
          <w:szCs w:val="24"/>
        </w:rPr>
        <w:t xml:space="preserve"> la fecha de inicio de SCC</w:t>
      </w:r>
      <w:r w:rsidR="00211493">
        <w:rPr>
          <w:i/>
          <w:iCs/>
          <w:szCs w:val="24"/>
        </w:rPr>
        <w:t xml:space="preserve"> por causa elegible</w:t>
      </w:r>
      <w:r w:rsidRPr="006E1D99">
        <w:rPr>
          <w:i/>
          <w:iCs/>
          <w:szCs w:val="24"/>
        </w:rPr>
        <w:t xml:space="preserve">, usted </w:t>
      </w:r>
      <w:r w:rsidR="00211493">
        <w:rPr>
          <w:i/>
          <w:iCs/>
          <w:szCs w:val="24"/>
        </w:rPr>
        <w:t>puede</w:t>
      </w:r>
      <w:r w:rsidRPr="006E1D99">
        <w:rPr>
          <w:i/>
          <w:iCs/>
          <w:szCs w:val="24"/>
        </w:rPr>
        <w:t xml:space="preserve"> ganar 10 días de SCC cada mes calendario en la(s) causa(s) listada(s) arriba si usted cumple con los </w:t>
      </w:r>
      <w:r w:rsidR="00211493">
        <w:rPr>
          <w:i/>
          <w:iCs/>
          <w:szCs w:val="24"/>
        </w:rPr>
        <w:t>c</w:t>
      </w:r>
      <w:r w:rsidRPr="006E1D99">
        <w:rPr>
          <w:i/>
          <w:iCs/>
          <w:szCs w:val="24"/>
        </w:rPr>
        <w:t xml:space="preserve">riterios </w:t>
      </w:r>
      <w:r w:rsidR="00211493">
        <w:rPr>
          <w:i/>
          <w:iCs/>
          <w:szCs w:val="24"/>
        </w:rPr>
        <w:t>m</w:t>
      </w:r>
      <w:r w:rsidRPr="006E1D99">
        <w:rPr>
          <w:i/>
          <w:iCs/>
          <w:szCs w:val="24"/>
        </w:rPr>
        <w:t>ensuales de SCC listados abajo.  Se llevará a cabo una revisión mensual y si se gana SCC, su fecha de finalización programada general se reducirá en un total de 10 días, independientemente de cuántas causas sean elegibles para SCC.</w:t>
      </w:r>
    </w:p>
    <w:p w14:paraId="389E68F8" w14:textId="302DB229" w:rsidR="001F493F" w:rsidRPr="001C1F3A" w:rsidRDefault="001F493F" w:rsidP="00713CEB"/>
    <w:p w14:paraId="64188DFB" w14:textId="4E0F312A" w:rsidR="001F493F" w:rsidRPr="00F0226B" w:rsidRDefault="001F493F" w:rsidP="00713CEB">
      <w:pPr>
        <w:spacing w:after="120"/>
        <w:rPr>
          <w:b/>
          <w:bCs/>
          <w:i/>
          <w:iCs/>
          <w:szCs w:val="24"/>
        </w:rPr>
      </w:pPr>
      <w:r>
        <w:rPr>
          <w:b/>
          <w:bCs/>
          <w:szCs w:val="24"/>
          <w:u w:val="single"/>
        </w:rPr>
        <w:t>SCC Monthly Criteria</w:t>
      </w:r>
      <w:r w:rsidR="00F0226B">
        <w:rPr>
          <w:b/>
          <w:bCs/>
          <w:szCs w:val="24"/>
          <w:u w:val="single"/>
        </w:rPr>
        <w:t>/</w:t>
      </w:r>
      <w:r w:rsidR="00F0226B" w:rsidRPr="006E1D99">
        <w:rPr>
          <w:b/>
          <w:bCs/>
          <w:i/>
          <w:iCs/>
          <w:szCs w:val="24"/>
          <w:u w:val="single"/>
        </w:rPr>
        <w:t>Criterios mensuales del SCC</w:t>
      </w:r>
      <w:r w:rsidR="00F0226B" w:rsidRPr="006E1D99">
        <w:rPr>
          <w:b/>
          <w:bCs/>
          <w:i/>
          <w:iCs/>
          <w:szCs w:val="24"/>
        </w:rPr>
        <w:t>:</w:t>
      </w:r>
    </w:p>
    <w:p w14:paraId="36487DF7" w14:textId="5B609AF0" w:rsidR="001F493F" w:rsidRPr="00211493" w:rsidRDefault="001F493F" w:rsidP="00713CEB">
      <w:pPr>
        <w:pStyle w:val="ListParagraph"/>
        <w:numPr>
          <w:ilvl w:val="0"/>
          <w:numId w:val="2"/>
        </w:numPr>
        <w:contextualSpacing w:val="0"/>
        <w:rPr>
          <w:szCs w:val="24"/>
          <w:lang w:val="en-US"/>
        </w:rPr>
      </w:pPr>
      <w:r w:rsidRPr="00211493">
        <w:rPr>
          <w:szCs w:val="24"/>
          <w:lang w:val="en-US"/>
        </w:rPr>
        <w:t>Be available for supervision every day of the calendar month</w:t>
      </w:r>
    </w:p>
    <w:p w14:paraId="2424D89C" w14:textId="1B6FE103" w:rsidR="00F0226B" w:rsidRPr="00F0226B" w:rsidRDefault="00F0226B" w:rsidP="00713CEB">
      <w:pPr>
        <w:pStyle w:val="ListParagraph"/>
        <w:contextualSpacing w:val="0"/>
        <w:rPr>
          <w:i/>
          <w:iCs/>
          <w:szCs w:val="24"/>
        </w:rPr>
      </w:pPr>
      <w:r w:rsidRPr="00F0226B">
        <w:rPr>
          <w:i/>
          <w:iCs/>
          <w:szCs w:val="24"/>
        </w:rPr>
        <w:t>Estar disponible para la supervisión todos los días del mes calendario</w:t>
      </w:r>
    </w:p>
    <w:p w14:paraId="39EA2094" w14:textId="656DE440" w:rsidR="001F493F" w:rsidRPr="00211493" w:rsidRDefault="001F493F" w:rsidP="00713CEB">
      <w:pPr>
        <w:pStyle w:val="ListParagraph"/>
        <w:numPr>
          <w:ilvl w:val="0"/>
          <w:numId w:val="2"/>
        </w:numPr>
        <w:contextualSpacing w:val="0"/>
        <w:rPr>
          <w:szCs w:val="24"/>
          <w:lang w:val="en-US"/>
        </w:rPr>
      </w:pPr>
      <w:r w:rsidRPr="00211493">
        <w:rPr>
          <w:szCs w:val="24"/>
          <w:lang w:val="en-US"/>
        </w:rPr>
        <w:t>Be supervised in Washington State and not transfer supervision to another state under the Interstate Compact (ICOTS)</w:t>
      </w:r>
    </w:p>
    <w:p w14:paraId="43DA617D" w14:textId="25A391C0" w:rsidR="00F0226B" w:rsidRPr="00F0226B" w:rsidRDefault="00F0226B" w:rsidP="00713CEB">
      <w:pPr>
        <w:pStyle w:val="ListParagraph"/>
        <w:contextualSpacing w:val="0"/>
        <w:rPr>
          <w:i/>
          <w:iCs/>
          <w:szCs w:val="24"/>
        </w:rPr>
      </w:pPr>
      <w:r w:rsidRPr="006E1D99">
        <w:rPr>
          <w:i/>
          <w:iCs/>
          <w:szCs w:val="24"/>
        </w:rPr>
        <w:t>Ser supervisado en el Estado de Washington y no transferir la supervisión a otro estado en virtud del Pacto Interestatal (ICOTS)</w:t>
      </w:r>
    </w:p>
    <w:p w14:paraId="613B3901" w14:textId="24B515C6" w:rsidR="001F493F" w:rsidRPr="00211493" w:rsidRDefault="001F493F" w:rsidP="00713CEB">
      <w:pPr>
        <w:pStyle w:val="ListParagraph"/>
        <w:numPr>
          <w:ilvl w:val="0"/>
          <w:numId w:val="2"/>
        </w:numPr>
        <w:contextualSpacing w:val="0"/>
        <w:rPr>
          <w:szCs w:val="24"/>
          <w:lang w:val="en-US"/>
        </w:rPr>
      </w:pPr>
      <w:proofErr w:type="gramStart"/>
      <w:r w:rsidRPr="00211493">
        <w:rPr>
          <w:szCs w:val="24"/>
          <w:lang w:val="en-US"/>
        </w:rPr>
        <w:t>Be in compliance with</w:t>
      </w:r>
      <w:proofErr w:type="gramEnd"/>
      <w:r w:rsidRPr="00211493">
        <w:rPr>
          <w:szCs w:val="24"/>
          <w:lang w:val="en-US"/>
        </w:rPr>
        <w:t xml:space="preserve"> all conditions of supervision</w:t>
      </w:r>
    </w:p>
    <w:p w14:paraId="5211008E" w14:textId="550715B4" w:rsidR="00F0226B" w:rsidRPr="00F0226B" w:rsidRDefault="00F0226B" w:rsidP="00713CEB">
      <w:pPr>
        <w:pStyle w:val="ListParagraph"/>
        <w:contextualSpacing w:val="0"/>
        <w:rPr>
          <w:i/>
          <w:iCs/>
          <w:szCs w:val="24"/>
        </w:rPr>
      </w:pPr>
      <w:r w:rsidRPr="006E1D99">
        <w:rPr>
          <w:i/>
          <w:iCs/>
          <w:szCs w:val="24"/>
        </w:rPr>
        <w:t>Cumplir con todas las condiciones de supervisión</w:t>
      </w:r>
    </w:p>
    <w:p w14:paraId="5F7D7851" w14:textId="316169BF" w:rsidR="001F493F" w:rsidRPr="00211493" w:rsidRDefault="001F493F" w:rsidP="00713CEB">
      <w:pPr>
        <w:pStyle w:val="ListParagraph"/>
        <w:numPr>
          <w:ilvl w:val="0"/>
          <w:numId w:val="2"/>
        </w:numPr>
        <w:contextualSpacing w:val="0"/>
        <w:rPr>
          <w:szCs w:val="24"/>
          <w:lang w:val="en-US"/>
        </w:rPr>
      </w:pPr>
      <w:r w:rsidRPr="00211493">
        <w:rPr>
          <w:szCs w:val="24"/>
          <w:lang w:val="en-US"/>
        </w:rPr>
        <w:t>Have no identified or addressed willful violation behavior</w:t>
      </w:r>
    </w:p>
    <w:p w14:paraId="012283C8" w14:textId="79DABC57" w:rsidR="00F0226B" w:rsidRPr="00F0226B" w:rsidRDefault="00F0226B" w:rsidP="00713CEB">
      <w:pPr>
        <w:pStyle w:val="ListParagraph"/>
        <w:contextualSpacing w:val="0"/>
        <w:rPr>
          <w:i/>
          <w:iCs/>
          <w:szCs w:val="24"/>
        </w:rPr>
      </w:pPr>
      <w:r w:rsidRPr="006E1D99">
        <w:rPr>
          <w:i/>
          <w:iCs/>
          <w:szCs w:val="24"/>
        </w:rPr>
        <w:t>No ha</w:t>
      </w:r>
      <w:r>
        <w:rPr>
          <w:i/>
          <w:iCs/>
          <w:szCs w:val="24"/>
        </w:rPr>
        <w:t>berse</w:t>
      </w:r>
      <w:r w:rsidRPr="006E1D99">
        <w:rPr>
          <w:i/>
          <w:iCs/>
          <w:szCs w:val="24"/>
        </w:rPr>
        <w:t xml:space="preserve"> identificado o abordado comportamiento de violación intencional</w:t>
      </w:r>
    </w:p>
    <w:p w14:paraId="602077DB" w14:textId="3E7AF834" w:rsidR="001F493F" w:rsidRPr="00211493" w:rsidRDefault="001F493F" w:rsidP="00713CEB">
      <w:pPr>
        <w:pStyle w:val="ListParagraph"/>
        <w:numPr>
          <w:ilvl w:val="0"/>
          <w:numId w:val="2"/>
        </w:numPr>
        <w:contextualSpacing w:val="0"/>
        <w:rPr>
          <w:szCs w:val="24"/>
          <w:lang w:val="en-US"/>
        </w:rPr>
      </w:pPr>
      <w:r w:rsidRPr="00211493">
        <w:rPr>
          <w:szCs w:val="24"/>
          <w:lang w:val="en-US"/>
        </w:rPr>
        <w:t>Be making progress towards the goals of your individualized supervision case plan, including:</w:t>
      </w:r>
    </w:p>
    <w:p w14:paraId="63DB6A20" w14:textId="5A3B5F98" w:rsidR="00F0226B" w:rsidRPr="006E1D99" w:rsidRDefault="00F0226B" w:rsidP="00713CEB">
      <w:pPr>
        <w:pStyle w:val="ListParagraph"/>
        <w:contextualSpacing w:val="0"/>
        <w:rPr>
          <w:i/>
          <w:iCs/>
          <w:szCs w:val="24"/>
        </w:rPr>
      </w:pPr>
      <w:r w:rsidRPr="006E1D99">
        <w:rPr>
          <w:i/>
          <w:iCs/>
          <w:szCs w:val="24"/>
        </w:rPr>
        <w:t>Estar progresando hacia los objetivos de su plan de caso de supervisión individualizad</w:t>
      </w:r>
      <w:r w:rsidR="00344E35">
        <w:rPr>
          <w:i/>
          <w:iCs/>
          <w:szCs w:val="24"/>
        </w:rPr>
        <w:t>a</w:t>
      </w:r>
      <w:r w:rsidRPr="006E1D99">
        <w:rPr>
          <w:i/>
          <w:iCs/>
          <w:szCs w:val="24"/>
        </w:rPr>
        <w:t>, incluyendo:</w:t>
      </w:r>
    </w:p>
    <w:p w14:paraId="3D5CD1F5" w14:textId="110D33D2" w:rsidR="007A5B24" w:rsidRPr="00B96998" w:rsidRDefault="007A5B24" w:rsidP="007A5B24">
      <w:pPr>
        <w:pStyle w:val="ListParagraph"/>
        <w:numPr>
          <w:ilvl w:val="0"/>
          <w:numId w:val="3"/>
        </w:numPr>
        <w:rPr>
          <w:szCs w:val="24"/>
          <w:lang w:val="en-US"/>
        </w:rPr>
      </w:pPr>
      <w:r w:rsidRPr="00B96998">
        <w:rPr>
          <w:szCs w:val="24"/>
          <w:lang w:val="en-US"/>
        </w:rPr>
        <w:t>Participating in specific targeted interventions, risk-related programming, or treatment, or</w:t>
      </w:r>
    </w:p>
    <w:p w14:paraId="488D8AA8" w14:textId="77777777" w:rsidR="007A5B24" w:rsidRPr="00B96998" w:rsidRDefault="00F0226B" w:rsidP="007A5B24">
      <w:pPr>
        <w:pStyle w:val="ListParagraph"/>
        <w:ind w:left="1080"/>
        <w:contextualSpacing w:val="0"/>
        <w:rPr>
          <w:i/>
          <w:iCs/>
          <w:szCs w:val="24"/>
        </w:rPr>
      </w:pPr>
      <w:r w:rsidRPr="00B96998">
        <w:rPr>
          <w:i/>
          <w:iCs/>
          <w:szCs w:val="24"/>
        </w:rPr>
        <w:t>Participación en intervenciones específicas</w:t>
      </w:r>
      <w:r w:rsidR="007A5B24" w:rsidRPr="00B96998">
        <w:rPr>
          <w:i/>
          <w:iCs/>
          <w:szCs w:val="24"/>
        </w:rPr>
        <w:t>, Programación o tratamiento relacionados con el riesgo, o</w:t>
      </w:r>
    </w:p>
    <w:p w14:paraId="1802DAB5" w14:textId="1189AFD6" w:rsidR="001F493F" w:rsidRPr="00B96998" w:rsidRDefault="001F493F" w:rsidP="007A5B24">
      <w:pPr>
        <w:pStyle w:val="ListParagraph"/>
        <w:numPr>
          <w:ilvl w:val="0"/>
          <w:numId w:val="3"/>
        </w:numPr>
        <w:rPr>
          <w:szCs w:val="24"/>
          <w:lang w:val="en-US"/>
        </w:rPr>
      </w:pPr>
      <w:r w:rsidRPr="00B96998">
        <w:rPr>
          <w:szCs w:val="24"/>
          <w:lang w:val="en-US"/>
        </w:rPr>
        <w:t>Completing</w:t>
      </w:r>
      <w:r w:rsidR="007A5B24" w:rsidRPr="00B96998">
        <w:rPr>
          <w:szCs w:val="24"/>
          <w:lang w:val="en-US"/>
        </w:rPr>
        <w:t xml:space="preserve"> at least one</w:t>
      </w:r>
      <w:r w:rsidRPr="00B96998">
        <w:rPr>
          <w:szCs w:val="24"/>
          <w:lang w:val="en-US"/>
        </w:rPr>
        <w:t xml:space="preserve"> step towards</w:t>
      </w:r>
      <w:r w:rsidR="007A5B24" w:rsidRPr="00B96998">
        <w:rPr>
          <w:szCs w:val="24"/>
          <w:lang w:val="en-US"/>
        </w:rPr>
        <w:t xml:space="preserve"> any of your</w:t>
      </w:r>
      <w:r w:rsidRPr="00B96998">
        <w:rPr>
          <w:szCs w:val="24"/>
          <w:lang w:val="en-US"/>
        </w:rPr>
        <w:t xml:space="preserve"> specific targeted goals that enhance protective factors and stability</w:t>
      </w:r>
      <w:r w:rsidR="007A5B24" w:rsidRPr="00B96998">
        <w:rPr>
          <w:szCs w:val="24"/>
          <w:lang w:val="en-US"/>
        </w:rPr>
        <w:t>.</w:t>
      </w:r>
      <w:r w:rsidRPr="00B96998">
        <w:rPr>
          <w:szCs w:val="24"/>
          <w:lang w:val="en-US"/>
        </w:rPr>
        <w:t xml:space="preserve"> </w:t>
      </w:r>
    </w:p>
    <w:p w14:paraId="7CA92879" w14:textId="2CC8AB9C" w:rsidR="00343BE1" w:rsidRPr="007A5B24" w:rsidRDefault="00F0226B" w:rsidP="007A5B24">
      <w:pPr>
        <w:pStyle w:val="ListParagraph"/>
        <w:ind w:left="1080"/>
        <w:contextualSpacing w:val="0"/>
        <w:rPr>
          <w:i/>
          <w:iCs/>
          <w:szCs w:val="24"/>
        </w:rPr>
      </w:pPr>
      <w:r w:rsidRPr="006E1D99">
        <w:rPr>
          <w:i/>
          <w:iCs/>
          <w:szCs w:val="24"/>
        </w:rPr>
        <w:t>Completar</w:t>
      </w:r>
      <w:r w:rsidR="00211493">
        <w:rPr>
          <w:i/>
          <w:iCs/>
          <w:szCs w:val="24"/>
        </w:rPr>
        <w:t xml:space="preserve"> por lo menos uno de</w:t>
      </w:r>
      <w:r w:rsidRPr="006E1D99">
        <w:rPr>
          <w:i/>
          <w:iCs/>
          <w:szCs w:val="24"/>
        </w:rPr>
        <w:t xml:space="preserve"> los pasos hacia </w:t>
      </w:r>
      <w:r w:rsidR="00211493">
        <w:rPr>
          <w:i/>
          <w:iCs/>
          <w:szCs w:val="24"/>
        </w:rPr>
        <w:t>alguno de</w:t>
      </w:r>
      <w:r w:rsidRPr="006E1D99">
        <w:rPr>
          <w:i/>
          <w:iCs/>
          <w:szCs w:val="24"/>
        </w:rPr>
        <w:t xml:space="preserve"> </w:t>
      </w:r>
      <w:r w:rsidR="00211493">
        <w:rPr>
          <w:i/>
          <w:iCs/>
          <w:szCs w:val="24"/>
        </w:rPr>
        <w:t xml:space="preserve">sus </w:t>
      </w:r>
      <w:r w:rsidRPr="006E1D99">
        <w:rPr>
          <w:i/>
          <w:iCs/>
          <w:szCs w:val="24"/>
        </w:rPr>
        <w:t>objetivos específicos que mejoran los factores de protección y estabilidad.</w:t>
      </w:r>
    </w:p>
    <w:p w14:paraId="1D15BB78" w14:textId="33340F00" w:rsidR="00F74CAB" w:rsidRPr="001C1F3A" w:rsidRDefault="00F74CAB" w:rsidP="00713CEB"/>
    <w:p w14:paraId="33CFC64D" w14:textId="21563755" w:rsidR="00F74CAB" w:rsidRPr="00B96998" w:rsidRDefault="00F74CAB" w:rsidP="00713CEB">
      <w:pPr>
        <w:spacing w:after="120"/>
        <w:rPr>
          <w:b/>
          <w:bCs/>
          <w:szCs w:val="24"/>
        </w:rPr>
      </w:pPr>
      <w:proofErr w:type="spellStart"/>
      <w:r w:rsidRPr="001D65C7">
        <w:rPr>
          <w:b/>
          <w:bCs/>
          <w:szCs w:val="24"/>
          <w:u w:val="single"/>
        </w:rPr>
        <w:t>Specified</w:t>
      </w:r>
      <w:proofErr w:type="spellEnd"/>
      <w:r w:rsidRPr="001D65C7">
        <w:rPr>
          <w:b/>
          <w:bCs/>
          <w:szCs w:val="24"/>
          <w:u w:val="single"/>
        </w:rPr>
        <w:t xml:space="preserve"> </w:t>
      </w:r>
      <w:proofErr w:type="spellStart"/>
      <w:r w:rsidRPr="001D65C7">
        <w:rPr>
          <w:b/>
          <w:bCs/>
          <w:szCs w:val="24"/>
          <w:u w:val="single"/>
        </w:rPr>
        <w:t>Targeted</w:t>
      </w:r>
      <w:proofErr w:type="spellEnd"/>
      <w:r w:rsidRPr="001D65C7">
        <w:rPr>
          <w:b/>
          <w:bCs/>
          <w:szCs w:val="24"/>
          <w:u w:val="single"/>
        </w:rPr>
        <w:t xml:space="preserve"> </w:t>
      </w:r>
      <w:proofErr w:type="spellStart"/>
      <w:r w:rsidRPr="00B96998">
        <w:rPr>
          <w:b/>
          <w:bCs/>
          <w:szCs w:val="24"/>
          <w:u w:val="single"/>
        </w:rPr>
        <w:t>Goals</w:t>
      </w:r>
      <w:proofErr w:type="spellEnd"/>
      <w:r w:rsidR="007A5B24" w:rsidRPr="00B96998">
        <w:rPr>
          <w:b/>
          <w:bCs/>
          <w:szCs w:val="24"/>
          <w:u w:val="single"/>
        </w:rPr>
        <w:t xml:space="preserve"> </w:t>
      </w:r>
      <w:r w:rsidR="007A5B24" w:rsidRPr="00B96998">
        <w:rPr>
          <w:b/>
          <w:bCs/>
          <w:szCs w:val="24"/>
          <w:u w:val="double"/>
        </w:rPr>
        <w:t xml:space="preserve">(i.e., </w:t>
      </w:r>
      <w:proofErr w:type="spellStart"/>
      <w:r w:rsidR="007A5B24" w:rsidRPr="00B96998">
        <w:rPr>
          <w:b/>
          <w:bCs/>
          <w:szCs w:val="24"/>
          <w:u w:val="double"/>
        </w:rPr>
        <w:t>SCC</w:t>
      </w:r>
      <w:proofErr w:type="spellEnd"/>
      <w:r w:rsidR="007A5B24" w:rsidRPr="00B96998">
        <w:rPr>
          <w:b/>
          <w:bCs/>
          <w:szCs w:val="24"/>
          <w:u w:val="double"/>
        </w:rPr>
        <w:t xml:space="preserve"> </w:t>
      </w:r>
      <w:proofErr w:type="spellStart"/>
      <w:r w:rsidR="007A5B24" w:rsidRPr="00B96998">
        <w:rPr>
          <w:b/>
          <w:bCs/>
          <w:szCs w:val="24"/>
          <w:u w:val="double"/>
        </w:rPr>
        <w:t>Goals</w:t>
      </w:r>
      <w:proofErr w:type="spellEnd"/>
      <w:r w:rsidR="007A5B24" w:rsidRPr="00B96998">
        <w:rPr>
          <w:b/>
          <w:bCs/>
          <w:szCs w:val="24"/>
          <w:u w:val="single"/>
        </w:rPr>
        <w:t>)</w:t>
      </w:r>
      <w:r w:rsidR="007A5B24" w:rsidRPr="00B96998">
        <w:rPr>
          <w:b/>
          <w:bCs/>
          <w:szCs w:val="24"/>
        </w:rPr>
        <w:t>:</w:t>
      </w:r>
      <w:r w:rsidR="001D65C7" w:rsidRPr="00B96998">
        <w:rPr>
          <w:b/>
          <w:bCs/>
          <w:szCs w:val="24"/>
        </w:rPr>
        <w:t>/</w:t>
      </w:r>
      <w:r w:rsidR="001D65C7" w:rsidRPr="00B96998">
        <w:rPr>
          <w:b/>
          <w:bCs/>
          <w:i/>
          <w:iCs/>
          <w:szCs w:val="24"/>
          <w:u w:val="single"/>
        </w:rPr>
        <w:t>Objetivos Específicos Dirigidos</w:t>
      </w:r>
      <w:r w:rsidR="00211493" w:rsidRPr="00B96998">
        <w:rPr>
          <w:b/>
          <w:bCs/>
          <w:i/>
          <w:iCs/>
          <w:szCs w:val="24"/>
          <w:u w:val="single"/>
        </w:rPr>
        <w:t xml:space="preserve"> (por ejemplo., Metas de SCC)</w:t>
      </w:r>
      <w:r w:rsidR="001D65C7" w:rsidRPr="00B96998">
        <w:rPr>
          <w:b/>
          <w:bCs/>
          <w:szCs w:val="24"/>
          <w:u w:val="single"/>
        </w:rPr>
        <w:t>:</w:t>
      </w:r>
    </w:p>
    <w:p w14:paraId="525BD7C0" w14:textId="492979B1" w:rsidR="001D65C7" w:rsidRPr="00211493" w:rsidRDefault="00F74CAB" w:rsidP="00713CEB">
      <w:pPr>
        <w:rPr>
          <w:szCs w:val="24"/>
          <w:lang w:val="en-US"/>
        </w:rPr>
      </w:pPr>
      <w:r w:rsidRPr="00B96998">
        <w:rPr>
          <w:szCs w:val="24"/>
          <w:lang w:val="en-US"/>
        </w:rPr>
        <w:t xml:space="preserve">I acknowledge the following </w:t>
      </w:r>
      <w:r w:rsidR="007A5B24" w:rsidRPr="00B96998">
        <w:rPr>
          <w:szCs w:val="24"/>
          <w:lang w:val="en-US"/>
        </w:rPr>
        <w:t>s</w:t>
      </w:r>
      <w:r w:rsidRPr="00B96998">
        <w:rPr>
          <w:szCs w:val="24"/>
          <w:lang w:val="en-US"/>
        </w:rPr>
        <w:t xml:space="preserve">pecific </w:t>
      </w:r>
      <w:r w:rsidR="007A5B24" w:rsidRPr="00B96998">
        <w:rPr>
          <w:szCs w:val="24"/>
          <w:lang w:val="en-US"/>
        </w:rPr>
        <w:t>t</w:t>
      </w:r>
      <w:r w:rsidRPr="00B96998">
        <w:rPr>
          <w:szCs w:val="24"/>
          <w:lang w:val="en-US"/>
        </w:rPr>
        <w:t xml:space="preserve">argeted </w:t>
      </w:r>
      <w:r w:rsidR="007A5B24" w:rsidRPr="00B96998">
        <w:rPr>
          <w:szCs w:val="24"/>
          <w:lang w:val="en-US"/>
        </w:rPr>
        <w:t>g</w:t>
      </w:r>
      <w:r w:rsidRPr="00B96998">
        <w:rPr>
          <w:szCs w:val="24"/>
          <w:lang w:val="en-US"/>
        </w:rPr>
        <w:t>oals</w:t>
      </w:r>
      <w:r w:rsidRPr="00211493">
        <w:rPr>
          <w:szCs w:val="24"/>
          <w:lang w:val="en-US"/>
        </w:rPr>
        <w:t xml:space="preserve"> apply to my SCC eligible cause(s):</w:t>
      </w:r>
    </w:p>
    <w:p w14:paraId="44F74EE4" w14:textId="205A3D93" w:rsidR="00F74CAB" w:rsidRPr="003D000F" w:rsidRDefault="001D65C7" w:rsidP="0046605F">
      <w:pPr>
        <w:spacing w:after="120"/>
      </w:pPr>
      <w:r w:rsidRPr="001D65C7">
        <w:rPr>
          <w:i/>
          <w:iCs/>
          <w:szCs w:val="24"/>
        </w:rPr>
        <w:t xml:space="preserve">Reconozco que las siguientes </w:t>
      </w:r>
      <w:r w:rsidR="00211493">
        <w:rPr>
          <w:i/>
          <w:iCs/>
          <w:szCs w:val="24"/>
        </w:rPr>
        <w:t>m</w:t>
      </w:r>
      <w:r w:rsidRPr="001D65C7">
        <w:rPr>
          <w:i/>
          <w:iCs/>
          <w:szCs w:val="24"/>
        </w:rPr>
        <w:t xml:space="preserve">etas </w:t>
      </w:r>
      <w:r w:rsidR="00211493">
        <w:rPr>
          <w:i/>
          <w:iCs/>
          <w:szCs w:val="24"/>
        </w:rPr>
        <w:t>e</w:t>
      </w:r>
      <w:r w:rsidRPr="001D65C7">
        <w:rPr>
          <w:i/>
          <w:iCs/>
          <w:szCs w:val="24"/>
        </w:rPr>
        <w:t xml:space="preserve">specíficas </w:t>
      </w:r>
      <w:r w:rsidR="00211493">
        <w:rPr>
          <w:i/>
          <w:iCs/>
          <w:szCs w:val="24"/>
        </w:rPr>
        <w:t>d</w:t>
      </w:r>
      <w:r w:rsidRPr="001D65C7">
        <w:rPr>
          <w:i/>
          <w:iCs/>
          <w:szCs w:val="24"/>
        </w:rPr>
        <w:t>irigidas se aplican a mi(s) causa(s) elegible(s) para SCC:</w:t>
      </w:r>
    </w:p>
    <w:p w14:paraId="4817336A" w14:textId="77777777" w:rsidR="001D65C7" w:rsidRPr="00211493" w:rsidRDefault="00F74CAB" w:rsidP="003D000F">
      <w:pPr>
        <w:pStyle w:val="ListParagraph"/>
        <w:numPr>
          <w:ilvl w:val="0"/>
          <w:numId w:val="8"/>
        </w:numPr>
        <w:ind w:left="360"/>
        <w:contextualSpacing w:val="0"/>
        <w:rPr>
          <w:szCs w:val="24"/>
          <w:lang w:val="en-US"/>
        </w:rPr>
      </w:pPr>
      <w:r w:rsidRPr="00211493">
        <w:rPr>
          <w:lang w:val="en-US"/>
        </w:rPr>
        <w:lastRenderedPageBreak/>
        <w:t>To Lawfully Support Myself and Meet My Financial Responsibilities</w:t>
      </w:r>
    </w:p>
    <w:p w14:paraId="5E9A4F47" w14:textId="4CEDAA46" w:rsidR="00F74CAB" w:rsidRPr="001D65C7" w:rsidRDefault="00F74CAB" w:rsidP="009B53D4">
      <w:pPr>
        <w:pStyle w:val="ListParagraph"/>
        <w:spacing w:after="60"/>
        <w:ind w:left="360"/>
        <w:contextualSpacing w:val="0"/>
        <w:rPr>
          <w:i/>
          <w:iCs/>
          <w:szCs w:val="24"/>
        </w:rPr>
      </w:pPr>
      <w:r w:rsidRPr="00211493">
        <w:rPr>
          <w:lang w:val="en-US"/>
        </w:rPr>
        <w:t xml:space="preserve"> </w:t>
      </w:r>
      <w:r w:rsidR="001D65C7" w:rsidRPr="001D65C7">
        <w:rPr>
          <w:i/>
          <w:iCs/>
        </w:rPr>
        <w:t>Mantenerme legalmente y cumplir con mis responsabilidades financieras</w:t>
      </w:r>
    </w:p>
    <w:p w14:paraId="60E03773" w14:textId="54AA1DC3" w:rsidR="00F74CAB" w:rsidRPr="00211493" w:rsidRDefault="00F74CAB" w:rsidP="003D000F">
      <w:pPr>
        <w:pStyle w:val="ListParagraph"/>
        <w:numPr>
          <w:ilvl w:val="0"/>
          <w:numId w:val="8"/>
        </w:numPr>
        <w:ind w:left="360"/>
        <w:contextualSpacing w:val="0"/>
        <w:rPr>
          <w:szCs w:val="24"/>
          <w:lang w:val="en-US"/>
        </w:rPr>
      </w:pPr>
      <w:r w:rsidRPr="00211493">
        <w:rPr>
          <w:lang w:val="en-US"/>
        </w:rPr>
        <w:t>To Engage in Prosocial Behaviors and Activities</w:t>
      </w:r>
    </w:p>
    <w:p w14:paraId="1D44B5FB" w14:textId="28B0806C" w:rsidR="001D65C7" w:rsidRDefault="001D65C7" w:rsidP="003D000F">
      <w:pPr>
        <w:pStyle w:val="ListParagraph"/>
        <w:ind w:left="360"/>
        <w:contextualSpacing w:val="0"/>
        <w:rPr>
          <w:i/>
          <w:iCs/>
          <w:szCs w:val="24"/>
        </w:rPr>
      </w:pPr>
      <w:r w:rsidRPr="001D65C7">
        <w:rPr>
          <w:i/>
          <w:iCs/>
          <w:szCs w:val="24"/>
        </w:rPr>
        <w:t>Participar en comportamientos y actividades prosociales</w:t>
      </w:r>
    </w:p>
    <w:p w14:paraId="3D742E8B" w14:textId="3EE92932" w:rsidR="001F493F" w:rsidRPr="001C1F3A" w:rsidRDefault="001F493F" w:rsidP="00713CEB"/>
    <w:p w14:paraId="15EE2001" w14:textId="530F4E69" w:rsidR="001F493F" w:rsidRPr="0046485F" w:rsidRDefault="001F493F" w:rsidP="00713CEB">
      <w:pPr>
        <w:spacing w:after="120"/>
        <w:rPr>
          <w:rFonts w:eastAsia="Times New Roman" w:cs="Times New Roman"/>
          <w:b/>
          <w:bCs/>
          <w:i/>
          <w:iCs/>
          <w:szCs w:val="24"/>
        </w:rPr>
      </w:pPr>
      <w:r>
        <w:rPr>
          <w:b/>
          <w:bCs/>
          <w:szCs w:val="24"/>
          <w:u w:val="single"/>
        </w:rPr>
        <w:t>Notices</w:t>
      </w:r>
      <w:r w:rsidR="00F0226B">
        <w:rPr>
          <w:rFonts w:eastAsia="Times New Roman" w:cs="Times New Roman"/>
          <w:b/>
          <w:bCs/>
          <w:i/>
          <w:iCs/>
          <w:szCs w:val="24"/>
          <w:u w:val="single"/>
        </w:rPr>
        <w:t>/</w:t>
      </w:r>
      <w:r w:rsidR="00F0226B" w:rsidRPr="00F0226B">
        <w:rPr>
          <w:rFonts w:eastAsia="Times New Roman" w:cs="Times New Roman"/>
          <w:b/>
          <w:bCs/>
          <w:i/>
          <w:iCs/>
          <w:szCs w:val="24"/>
          <w:u w:val="single"/>
        </w:rPr>
        <w:t>Avisos</w:t>
      </w:r>
      <w:r w:rsidR="00F0226B" w:rsidRPr="00F0226B">
        <w:rPr>
          <w:rFonts w:eastAsia="Times New Roman" w:cs="Times New Roman"/>
          <w:b/>
          <w:bCs/>
          <w:i/>
          <w:iCs/>
          <w:szCs w:val="24"/>
        </w:rPr>
        <w:t>:</w:t>
      </w:r>
    </w:p>
    <w:p w14:paraId="11DE3D9B" w14:textId="0A340419" w:rsidR="001F493F" w:rsidRPr="00211493" w:rsidRDefault="001F493F" w:rsidP="003D000F">
      <w:pPr>
        <w:pStyle w:val="ListParagraph"/>
        <w:numPr>
          <w:ilvl w:val="0"/>
          <w:numId w:val="4"/>
        </w:numPr>
        <w:ind w:left="360"/>
        <w:contextualSpacing w:val="0"/>
        <w:rPr>
          <w:szCs w:val="24"/>
          <w:lang w:val="en-US"/>
        </w:rPr>
      </w:pPr>
      <w:r w:rsidRPr="00211493">
        <w:rPr>
          <w:szCs w:val="24"/>
          <w:lang w:val="en-US"/>
        </w:rPr>
        <w:t>SCC will not be granted for the first and last months of supervision</w:t>
      </w:r>
    </w:p>
    <w:p w14:paraId="088DE36A" w14:textId="109166AF" w:rsidR="00BB2AA8" w:rsidRPr="00BB2AA8" w:rsidRDefault="00BB2AA8" w:rsidP="0068011A">
      <w:pPr>
        <w:pStyle w:val="ListParagraph"/>
        <w:spacing w:after="60"/>
        <w:ind w:left="360"/>
        <w:contextualSpacing w:val="0"/>
        <w:rPr>
          <w:i/>
          <w:iCs/>
          <w:szCs w:val="24"/>
        </w:rPr>
      </w:pPr>
      <w:r w:rsidRPr="006E1D99">
        <w:rPr>
          <w:i/>
          <w:iCs/>
          <w:szCs w:val="24"/>
        </w:rPr>
        <w:t>El SCC no se concederá durante los primeros y últimos meses de supervisión</w:t>
      </w:r>
    </w:p>
    <w:p w14:paraId="2F46452C" w14:textId="498108A6" w:rsidR="001F493F" w:rsidRPr="00211493" w:rsidRDefault="001F493F" w:rsidP="003D000F">
      <w:pPr>
        <w:pStyle w:val="ListParagraph"/>
        <w:numPr>
          <w:ilvl w:val="0"/>
          <w:numId w:val="4"/>
        </w:numPr>
        <w:ind w:left="360"/>
        <w:contextualSpacing w:val="0"/>
        <w:rPr>
          <w:szCs w:val="24"/>
          <w:lang w:val="en-US"/>
        </w:rPr>
      </w:pPr>
      <w:r w:rsidRPr="00211493">
        <w:rPr>
          <w:szCs w:val="24"/>
          <w:lang w:val="en-US"/>
        </w:rPr>
        <w:t>If non-compliance</w:t>
      </w:r>
      <w:r w:rsidR="008909EC" w:rsidRPr="00211493">
        <w:rPr>
          <w:szCs w:val="24"/>
          <w:lang w:val="en-US"/>
        </w:rPr>
        <w:t xml:space="preserve"> </w:t>
      </w:r>
      <w:r w:rsidR="008909EC" w:rsidRPr="00B96998">
        <w:rPr>
          <w:szCs w:val="24"/>
          <w:lang w:val="en-US"/>
        </w:rPr>
        <w:t>or an error</w:t>
      </w:r>
      <w:r w:rsidRPr="00B96998">
        <w:rPr>
          <w:szCs w:val="24"/>
          <w:lang w:val="en-US"/>
        </w:rPr>
        <w:t xml:space="preserve"> is</w:t>
      </w:r>
      <w:r w:rsidRPr="00211493">
        <w:rPr>
          <w:szCs w:val="24"/>
          <w:lang w:val="en-US"/>
        </w:rPr>
        <w:t xml:space="preserve"> discovered after a SCC has been earned, the SCC will be adjusted</w:t>
      </w:r>
    </w:p>
    <w:p w14:paraId="7B68F70E" w14:textId="67CE9716" w:rsidR="00BB2AA8" w:rsidRPr="006E1D99" w:rsidRDefault="00BB2AA8" w:rsidP="0068011A">
      <w:pPr>
        <w:pStyle w:val="ListParagraph"/>
        <w:spacing w:after="60"/>
        <w:ind w:left="360"/>
        <w:contextualSpacing w:val="0"/>
        <w:rPr>
          <w:i/>
          <w:iCs/>
          <w:szCs w:val="24"/>
        </w:rPr>
      </w:pPr>
      <w:r w:rsidRPr="006E1D99">
        <w:rPr>
          <w:i/>
          <w:iCs/>
          <w:szCs w:val="24"/>
        </w:rPr>
        <w:t>Si se descubre un incumplimiento</w:t>
      </w:r>
      <w:r w:rsidR="00211493">
        <w:rPr>
          <w:i/>
          <w:iCs/>
          <w:szCs w:val="24"/>
        </w:rPr>
        <w:t xml:space="preserve"> o un error</w:t>
      </w:r>
      <w:r w:rsidRPr="006E1D99">
        <w:rPr>
          <w:i/>
          <w:iCs/>
          <w:szCs w:val="24"/>
        </w:rPr>
        <w:t xml:space="preserve"> después de haber ganado un </w:t>
      </w:r>
      <w:r>
        <w:rPr>
          <w:i/>
          <w:iCs/>
          <w:szCs w:val="24"/>
        </w:rPr>
        <w:t>S</w:t>
      </w:r>
      <w:r w:rsidRPr="006E1D99">
        <w:rPr>
          <w:i/>
          <w:iCs/>
          <w:szCs w:val="24"/>
        </w:rPr>
        <w:t>CC, éste se ajustará</w:t>
      </w:r>
    </w:p>
    <w:p w14:paraId="1DE1C61B" w14:textId="265AB98D" w:rsidR="001F493F" w:rsidRPr="00211493" w:rsidRDefault="001F493F" w:rsidP="003D000F">
      <w:pPr>
        <w:pStyle w:val="ListParagraph"/>
        <w:numPr>
          <w:ilvl w:val="0"/>
          <w:numId w:val="4"/>
        </w:numPr>
        <w:ind w:left="360"/>
        <w:contextualSpacing w:val="0"/>
        <w:rPr>
          <w:szCs w:val="24"/>
          <w:lang w:val="en-US"/>
        </w:rPr>
      </w:pPr>
      <w:r w:rsidRPr="00211493">
        <w:rPr>
          <w:szCs w:val="24"/>
          <w:lang w:val="en-US"/>
        </w:rPr>
        <w:t>If a monthly SCC was not earned, the decision is considered final and cannot be appealed.</w:t>
      </w:r>
    </w:p>
    <w:p w14:paraId="33E23B61" w14:textId="19E364B6" w:rsidR="00BB2AA8" w:rsidRPr="006E1D99" w:rsidRDefault="00BB2AA8" w:rsidP="003D000F">
      <w:pPr>
        <w:pStyle w:val="ListParagraph"/>
        <w:ind w:left="360"/>
        <w:contextualSpacing w:val="0"/>
        <w:rPr>
          <w:i/>
          <w:iCs/>
          <w:szCs w:val="24"/>
        </w:rPr>
      </w:pPr>
      <w:r w:rsidRPr="006E1D99">
        <w:rPr>
          <w:i/>
          <w:iCs/>
          <w:szCs w:val="24"/>
        </w:rPr>
        <w:t xml:space="preserve">Si no se ha </w:t>
      </w:r>
      <w:r>
        <w:rPr>
          <w:i/>
          <w:iCs/>
          <w:szCs w:val="24"/>
        </w:rPr>
        <w:t>gan</w:t>
      </w:r>
      <w:r w:rsidRPr="006E1D99">
        <w:rPr>
          <w:i/>
          <w:iCs/>
          <w:szCs w:val="24"/>
        </w:rPr>
        <w:t xml:space="preserve">ado un </w:t>
      </w:r>
      <w:r>
        <w:rPr>
          <w:i/>
          <w:iCs/>
          <w:szCs w:val="24"/>
        </w:rPr>
        <w:t>S</w:t>
      </w:r>
      <w:r w:rsidRPr="006E1D99">
        <w:rPr>
          <w:i/>
          <w:iCs/>
          <w:szCs w:val="24"/>
        </w:rPr>
        <w:t xml:space="preserve">CC mensual, la decisión se considera definitiva y no se puede </w:t>
      </w:r>
      <w:r>
        <w:rPr>
          <w:i/>
          <w:iCs/>
          <w:szCs w:val="24"/>
        </w:rPr>
        <w:t>apela</w:t>
      </w:r>
      <w:r w:rsidRPr="006E1D99">
        <w:rPr>
          <w:i/>
          <w:iCs/>
          <w:szCs w:val="24"/>
        </w:rPr>
        <w:t>r.</w:t>
      </w:r>
    </w:p>
    <w:p w14:paraId="42C92143" w14:textId="55FD5552" w:rsidR="001F493F" w:rsidRPr="00380B4E" w:rsidRDefault="001F493F" w:rsidP="00713CEB"/>
    <w:p w14:paraId="690B586B" w14:textId="5B5EC1D5" w:rsidR="00971C1E" w:rsidRPr="00211493" w:rsidRDefault="001F493F" w:rsidP="00713CEB">
      <w:pPr>
        <w:rPr>
          <w:rFonts w:eastAsia="Times New Roman" w:cs="Times New Roman"/>
          <w:i/>
          <w:iCs/>
          <w:szCs w:val="24"/>
          <w:lang w:val="en-US"/>
        </w:rPr>
      </w:pPr>
      <w:r w:rsidRPr="00211493">
        <w:rPr>
          <w:szCs w:val="24"/>
          <w:lang w:val="en-US"/>
        </w:rPr>
        <w:t xml:space="preserve">I have read, or have had read to me, the information above.  I understand that if I have questions, I may ask </w:t>
      </w:r>
      <w:r w:rsidR="00310DCD" w:rsidRPr="00211493">
        <w:rPr>
          <w:szCs w:val="24"/>
          <w:lang w:val="en-US"/>
        </w:rPr>
        <w:t xml:space="preserve">my assigned </w:t>
      </w:r>
      <w:r w:rsidR="00536D23" w:rsidRPr="00211493">
        <w:rPr>
          <w:szCs w:val="24"/>
          <w:lang w:val="en-US"/>
        </w:rPr>
        <w:t xml:space="preserve">case manager </w:t>
      </w:r>
      <w:r w:rsidRPr="00211493">
        <w:rPr>
          <w:szCs w:val="24"/>
          <w:lang w:val="en-US"/>
        </w:rPr>
        <w:t>for clarification</w:t>
      </w:r>
      <w:r w:rsidR="00D07451" w:rsidRPr="00211493">
        <w:rPr>
          <w:szCs w:val="24"/>
          <w:lang w:val="en-US"/>
        </w:rPr>
        <w:t>.  I also understand this acknowledgment applies only to the sentence(s) listed above.</w:t>
      </w:r>
    </w:p>
    <w:p w14:paraId="22BB5E35" w14:textId="77777777" w:rsidR="00F500B0" w:rsidRPr="00211493" w:rsidRDefault="00F500B0" w:rsidP="00713CEB">
      <w:pPr>
        <w:rPr>
          <w:sz w:val="12"/>
          <w:lang w:val="en-US"/>
        </w:rPr>
      </w:pPr>
    </w:p>
    <w:p w14:paraId="3BDE3F8B" w14:textId="5D3F0030" w:rsidR="00971C1E" w:rsidRPr="00971C1E" w:rsidRDefault="00971C1E" w:rsidP="00713CEB">
      <w:pPr>
        <w:rPr>
          <w:i/>
          <w:iCs/>
          <w:szCs w:val="24"/>
        </w:rPr>
      </w:pPr>
      <w:r w:rsidRPr="00343BE1">
        <w:rPr>
          <w:i/>
          <w:iCs/>
          <w:szCs w:val="24"/>
        </w:rPr>
        <w:t xml:space="preserve">He leído o me han leído la información anterior.  Entiendo </w:t>
      </w:r>
      <w:r w:rsidR="00344E35" w:rsidRPr="00343BE1">
        <w:rPr>
          <w:i/>
          <w:iCs/>
          <w:szCs w:val="24"/>
        </w:rPr>
        <w:t>que,</w:t>
      </w:r>
      <w:r w:rsidRPr="00343BE1">
        <w:rPr>
          <w:i/>
          <w:iCs/>
          <w:szCs w:val="24"/>
        </w:rPr>
        <w:t xml:space="preserve"> si tengo preguntas, puedo pedir aclaraciones a</w:t>
      </w:r>
      <w:r w:rsidR="001D65C7" w:rsidRPr="00343BE1">
        <w:rPr>
          <w:i/>
          <w:iCs/>
          <w:szCs w:val="24"/>
        </w:rPr>
        <w:t xml:space="preserve"> mi </w:t>
      </w:r>
      <w:r w:rsidR="00536D23" w:rsidRPr="00343BE1">
        <w:rPr>
          <w:i/>
          <w:iCs/>
          <w:szCs w:val="24"/>
        </w:rPr>
        <w:t>a</w:t>
      </w:r>
      <w:r w:rsidR="00536D23" w:rsidRPr="00343BE1">
        <w:rPr>
          <w:i/>
        </w:rPr>
        <w:t>dministrador del caso</w:t>
      </w:r>
      <w:r w:rsidR="00536D23" w:rsidRPr="00343BE1">
        <w:rPr>
          <w:i/>
          <w:iCs/>
          <w:szCs w:val="24"/>
        </w:rPr>
        <w:t xml:space="preserve"> </w:t>
      </w:r>
      <w:r w:rsidR="001D65C7" w:rsidRPr="00343BE1">
        <w:rPr>
          <w:i/>
          <w:iCs/>
          <w:szCs w:val="24"/>
        </w:rPr>
        <w:t>asignado</w:t>
      </w:r>
      <w:r w:rsidRPr="00971C1E">
        <w:rPr>
          <w:i/>
          <w:iCs/>
          <w:szCs w:val="24"/>
        </w:rPr>
        <w:t>.  También entiendo que este reconocimiento se aplica sólo a la(s) sentencia(s) indicada(s) arriba.</w:t>
      </w:r>
    </w:p>
    <w:p w14:paraId="5190CFD4" w14:textId="77777777" w:rsidR="00BC1E2A" w:rsidRPr="00DE1D21" w:rsidRDefault="00BC1E2A" w:rsidP="00BC1E2A"/>
    <w:p w14:paraId="3B81E7F6" w14:textId="77777777" w:rsidR="00BC1E2A" w:rsidRPr="00C75AB7" w:rsidRDefault="00BC1E2A" w:rsidP="0067455C">
      <w:pPr>
        <w:tabs>
          <w:tab w:val="right" w:pos="3960"/>
          <w:tab w:val="left" w:pos="4320"/>
          <w:tab w:val="right" w:pos="6120"/>
          <w:tab w:val="left" w:pos="6480"/>
          <w:tab w:val="right" w:pos="8010"/>
        </w:tabs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ab/>
      </w:r>
      <w:r w:rsidRPr="00C75AB7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5AB7">
        <w:rPr>
          <w:szCs w:val="24"/>
          <w:u w:val="single"/>
        </w:rPr>
        <w:instrText xml:space="preserve"> FORMTEXT </w:instrText>
      </w:r>
      <w:r w:rsidRPr="00C75AB7">
        <w:rPr>
          <w:szCs w:val="24"/>
          <w:u w:val="single"/>
        </w:rPr>
      </w:r>
      <w:r w:rsidRPr="00C75AB7">
        <w:rPr>
          <w:szCs w:val="24"/>
          <w:u w:val="single"/>
        </w:rPr>
        <w:fldChar w:fldCharType="separate"/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</w:rPr>
        <w:tab/>
      </w:r>
      <w:r w:rsidRPr="00C75AB7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5AB7">
        <w:rPr>
          <w:szCs w:val="24"/>
          <w:u w:val="single"/>
        </w:rPr>
        <w:instrText xml:space="preserve"> FORMTEXT </w:instrText>
      </w:r>
      <w:r w:rsidRPr="00C75AB7">
        <w:rPr>
          <w:szCs w:val="24"/>
          <w:u w:val="single"/>
        </w:rPr>
      </w:r>
      <w:r w:rsidRPr="00C75AB7">
        <w:rPr>
          <w:szCs w:val="24"/>
          <w:u w:val="single"/>
        </w:rPr>
        <w:fldChar w:fldCharType="separate"/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01AC8A15" w14:textId="2704F71C" w:rsidR="00BC1E2A" w:rsidRDefault="00BC1E2A" w:rsidP="00BC1E2A">
      <w:pPr>
        <w:tabs>
          <w:tab w:val="left" w:pos="4320"/>
          <w:tab w:val="left" w:pos="6480"/>
        </w:tabs>
        <w:rPr>
          <w:i/>
          <w:iCs/>
          <w:sz w:val="22"/>
        </w:rPr>
      </w:pPr>
      <w:r w:rsidRPr="00893FAC">
        <w:t>Signature/</w:t>
      </w:r>
      <w:r w:rsidRPr="00893FAC">
        <w:rPr>
          <w:i/>
          <w:iCs/>
        </w:rPr>
        <w:t>Firma</w:t>
      </w:r>
      <w:r w:rsidRPr="00893FAC">
        <w:tab/>
        <w:t>Date/</w:t>
      </w:r>
      <w:r w:rsidRPr="00893FAC">
        <w:rPr>
          <w:i/>
          <w:iCs/>
        </w:rPr>
        <w:t>Fecha</w:t>
      </w:r>
      <w:r w:rsidRPr="00893FAC">
        <w:tab/>
        <w:t>Time</w:t>
      </w:r>
      <w:r w:rsidR="00FF7E87" w:rsidRPr="00CD226F">
        <w:rPr>
          <w:sz w:val="22"/>
        </w:rPr>
        <w:t>/</w:t>
      </w:r>
      <w:r w:rsidR="00FF7E87" w:rsidRPr="00CD226F">
        <w:rPr>
          <w:i/>
          <w:iCs/>
          <w:sz w:val="22"/>
        </w:rPr>
        <w:t>Hora</w:t>
      </w:r>
    </w:p>
    <w:p w14:paraId="0488B7CE" w14:textId="77777777" w:rsidR="00343BE1" w:rsidRPr="00893FAC" w:rsidRDefault="00343BE1" w:rsidP="00BC1E2A">
      <w:pPr>
        <w:tabs>
          <w:tab w:val="left" w:pos="4320"/>
          <w:tab w:val="left" w:pos="6480"/>
        </w:tabs>
      </w:pPr>
    </w:p>
    <w:bookmarkStart w:id="1" w:name="_Hlk103759502"/>
    <w:p w14:paraId="741AD8B1" w14:textId="77777777" w:rsidR="00BC1E2A" w:rsidRPr="00CB6BED" w:rsidRDefault="00BC1E2A" w:rsidP="00536D23">
      <w:pPr>
        <w:tabs>
          <w:tab w:val="right" w:pos="4050"/>
          <w:tab w:val="left" w:pos="4320"/>
          <w:tab w:val="right" w:pos="8010"/>
          <w:tab w:val="left" w:pos="8190"/>
          <w:tab w:val="right" w:pos="9450"/>
          <w:tab w:val="left" w:pos="963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szCs w:val="24"/>
            <w:u w:val="single"/>
          </w:rPr>
          <w:id w:val="-664853732"/>
          <w:showingPlcHdr/>
          <w:picture/>
        </w:sdtPr>
        <w:sdtEndPr/>
        <w:sdtContent>
          <w:r>
            <w:rPr>
              <w:noProof/>
              <w:szCs w:val="24"/>
              <w:u w:val="single"/>
            </w:rPr>
            <w:drawing>
              <wp:inline distT="0" distB="0" distL="0" distR="0" wp14:anchorId="79CBA285" wp14:editId="1426C081">
                <wp:extent cx="1905000" cy="3143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>
        <w:rPr>
          <w:u w:val="single"/>
        </w:rPr>
        <w:tab/>
      </w:r>
      <w:r w:rsidRPr="003670B5">
        <w:tab/>
      </w:r>
      <w:r w:rsidRPr="00C75AB7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5AB7">
        <w:rPr>
          <w:szCs w:val="24"/>
          <w:u w:val="single"/>
        </w:rPr>
        <w:instrText xml:space="preserve"> FORMTEXT </w:instrText>
      </w:r>
      <w:r w:rsidRPr="00C75AB7">
        <w:rPr>
          <w:szCs w:val="24"/>
          <w:u w:val="single"/>
        </w:rPr>
      </w:r>
      <w:r w:rsidRPr="00C75AB7">
        <w:rPr>
          <w:szCs w:val="24"/>
          <w:u w:val="single"/>
        </w:rPr>
        <w:fldChar w:fldCharType="separate"/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noProof/>
          <w:szCs w:val="24"/>
          <w:u w:val="single"/>
        </w:rPr>
        <w:t> </w:t>
      </w:r>
      <w:r w:rsidRPr="00C75AB7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14:paraId="44F80459" w14:textId="4F89AA78" w:rsidR="00BC1E2A" w:rsidRPr="00893FAC" w:rsidRDefault="00893FAC" w:rsidP="00536D23">
      <w:pPr>
        <w:tabs>
          <w:tab w:val="left" w:pos="4320"/>
          <w:tab w:val="left" w:pos="8190"/>
          <w:tab w:val="left" w:pos="9630"/>
        </w:tabs>
        <w:rPr>
          <w:szCs w:val="24"/>
        </w:rPr>
      </w:pPr>
      <w:r w:rsidRPr="00343BE1">
        <w:rPr>
          <w:szCs w:val="24"/>
        </w:rPr>
        <w:t>Case manager/</w:t>
      </w:r>
      <w:r w:rsidRPr="00343BE1">
        <w:rPr>
          <w:i/>
          <w:szCs w:val="24"/>
        </w:rPr>
        <w:t>Administrador del caso</w:t>
      </w:r>
      <w:r w:rsidR="00BC1E2A" w:rsidRPr="00893FAC">
        <w:rPr>
          <w:szCs w:val="24"/>
        </w:rPr>
        <w:tab/>
        <w:t>Signature</w:t>
      </w:r>
      <w:r w:rsidRPr="00CD226F">
        <w:rPr>
          <w:sz w:val="22"/>
        </w:rPr>
        <w:t>/</w:t>
      </w:r>
      <w:r w:rsidRPr="00CD226F">
        <w:rPr>
          <w:i/>
          <w:iCs/>
          <w:sz w:val="22"/>
        </w:rPr>
        <w:t>Firma</w:t>
      </w:r>
      <w:r w:rsidR="00BC1E2A" w:rsidRPr="00893FAC">
        <w:rPr>
          <w:szCs w:val="24"/>
        </w:rPr>
        <w:tab/>
        <w:t>Date</w:t>
      </w:r>
      <w:bookmarkEnd w:id="1"/>
      <w:r w:rsidR="00536D23" w:rsidRPr="00CD226F">
        <w:rPr>
          <w:sz w:val="22"/>
        </w:rPr>
        <w:t>/</w:t>
      </w:r>
      <w:r w:rsidR="00536D23" w:rsidRPr="00CD226F">
        <w:rPr>
          <w:i/>
          <w:iCs/>
          <w:sz w:val="22"/>
        </w:rPr>
        <w:t>Fecha</w:t>
      </w:r>
      <w:r w:rsidR="00536D23">
        <w:rPr>
          <w:i/>
          <w:iCs/>
          <w:sz w:val="22"/>
        </w:rPr>
        <w:tab/>
      </w:r>
      <w:r w:rsidR="00BC1E2A" w:rsidRPr="00893FAC">
        <w:rPr>
          <w:szCs w:val="24"/>
        </w:rPr>
        <w:t>Time</w:t>
      </w:r>
      <w:r w:rsidR="00536D23" w:rsidRPr="00CD226F">
        <w:rPr>
          <w:sz w:val="22"/>
        </w:rPr>
        <w:t>/</w:t>
      </w:r>
      <w:r w:rsidR="00536D23" w:rsidRPr="00CD226F">
        <w:rPr>
          <w:i/>
          <w:iCs/>
          <w:sz w:val="22"/>
        </w:rPr>
        <w:t>Hora</w:t>
      </w:r>
    </w:p>
    <w:p w14:paraId="1F3C259A" w14:textId="617B3F2A" w:rsidR="00BC1E2A" w:rsidRPr="00341DD6" w:rsidRDefault="00BC1E2A" w:rsidP="00A97E6A">
      <w:pPr>
        <w:tabs>
          <w:tab w:val="left" w:pos="4320"/>
          <w:tab w:val="left" w:pos="4680"/>
          <w:tab w:val="left" w:pos="6480"/>
          <w:tab w:val="left" w:pos="6840"/>
          <w:tab w:val="right" w:pos="10800"/>
        </w:tabs>
      </w:pPr>
    </w:p>
    <w:p w14:paraId="13372EFF" w14:textId="2E6B9CEC" w:rsidR="00D07451" w:rsidRPr="00211493" w:rsidRDefault="00D07451" w:rsidP="00A97E6A">
      <w:pPr>
        <w:rPr>
          <w:b/>
          <w:sz w:val="16"/>
          <w:lang w:val="en-US"/>
        </w:rPr>
      </w:pPr>
      <w:r w:rsidRPr="00211493">
        <w:rPr>
          <w:b/>
          <w:sz w:val="16"/>
          <w:lang w:val="en-US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16FD15D" w14:textId="77777777" w:rsidR="000A322D" w:rsidRPr="00211493" w:rsidRDefault="000A322D" w:rsidP="00A97E6A">
      <w:pPr>
        <w:rPr>
          <w:rFonts w:ascii="Arial Bold" w:hAnsi="Arial Bold"/>
          <w:b/>
          <w:sz w:val="12"/>
          <w:lang w:val="en-US"/>
        </w:rPr>
      </w:pPr>
    </w:p>
    <w:p w14:paraId="26D242FE" w14:textId="77777777" w:rsidR="00971C1E" w:rsidRPr="006E1D99" w:rsidRDefault="00971C1E" w:rsidP="00A97E6A">
      <w:pPr>
        <w:rPr>
          <w:b/>
          <w:i/>
          <w:iCs/>
          <w:sz w:val="16"/>
        </w:rPr>
      </w:pPr>
      <w:r w:rsidRPr="006E1D99">
        <w:rPr>
          <w:b/>
          <w:i/>
          <w:iCs/>
          <w:sz w:val="16"/>
        </w:rPr>
        <w:t>El contenido de este documento puede ser objeto de divulgación pública.  Los números de la Seguridad Social se consideran información confidencial y serán redactados en caso de que se solicite.  Este formulario se rige por la Orden Ejecutiva 16-01, RCW 42.56 y RCW 40.14.</w:t>
      </w:r>
    </w:p>
    <w:p w14:paraId="35235074" w14:textId="77777777" w:rsidR="00971C1E" w:rsidRPr="009C248D" w:rsidRDefault="00971C1E" w:rsidP="00A97E6A">
      <w:pPr>
        <w:rPr>
          <w:sz w:val="12"/>
        </w:rPr>
      </w:pPr>
    </w:p>
    <w:p w14:paraId="218CF380" w14:textId="13060670" w:rsidR="00D07451" w:rsidRPr="00211493" w:rsidRDefault="00D07451" w:rsidP="00A97E6A">
      <w:pPr>
        <w:rPr>
          <w:bCs/>
          <w:szCs w:val="20"/>
          <w:lang w:val="en-US"/>
        </w:rPr>
      </w:pPr>
      <w:r w:rsidRPr="00211493">
        <w:rPr>
          <w:bCs/>
          <w:sz w:val="20"/>
          <w:szCs w:val="20"/>
          <w:lang w:val="en-US"/>
        </w:rPr>
        <w:t xml:space="preserve">Distribution:  </w:t>
      </w:r>
      <w:r w:rsidRPr="00211493">
        <w:rPr>
          <w:b/>
          <w:sz w:val="20"/>
          <w:szCs w:val="20"/>
          <w:lang w:val="en-US"/>
        </w:rPr>
        <w:t xml:space="preserve">ORIGINAL - </w:t>
      </w:r>
      <w:r w:rsidRPr="00211493">
        <w:rPr>
          <w:bCs/>
          <w:sz w:val="20"/>
          <w:szCs w:val="20"/>
          <w:lang w:val="en-US"/>
        </w:rPr>
        <w:t xml:space="preserve">Field </w:t>
      </w:r>
      <w:r w:rsidR="00EA373E" w:rsidRPr="00211493">
        <w:rPr>
          <w:bCs/>
          <w:sz w:val="20"/>
          <w:szCs w:val="20"/>
          <w:lang w:val="en-US"/>
        </w:rPr>
        <w:t>f</w:t>
      </w:r>
      <w:r w:rsidRPr="00211493">
        <w:rPr>
          <w:bCs/>
          <w:sz w:val="20"/>
          <w:szCs w:val="20"/>
          <w:lang w:val="en-US"/>
        </w:rPr>
        <w:t>ile</w:t>
      </w:r>
      <w:r w:rsidRPr="00211493">
        <w:rPr>
          <w:bCs/>
          <w:sz w:val="20"/>
          <w:szCs w:val="20"/>
          <w:lang w:val="en-US"/>
        </w:rPr>
        <w:tab/>
      </w:r>
      <w:r w:rsidRPr="00211493">
        <w:rPr>
          <w:b/>
          <w:sz w:val="20"/>
          <w:szCs w:val="20"/>
          <w:lang w:val="en-US"/>
        </w:rPr>
        <w:t xml:space="preserve">COPY - </w:t>
      </w:r>
      <w:r w:rsidRPr="00211493">
        <w:rPr>
          <w:bCs/>
          <w:sz w:val="20"/>
          <w:szCs w:val="20"/>
          <w:lang w:val="en-US"/>
        </w:rPr>
        <w:t xml:space="preserve">Supervised </w:t>
      </w:r>
      <w:r w:rsidR="00380B4E" w:rsidRPr="00211493">
        <w:rPr>
          <w:bCs/>
          <w:sz w:val="20"/>
          <w:szCs w:val="20"/>
          <w:lang w:val="en-US"/>
        </w:rPr>
        <w:t>i</w:t>
      </w:r>
      <w:r w:rsidRPr="00211493">
        <w:rPr>
          <w:bCs/>
          <w:sz w:val="20"/>
          <w:szCs w:val="20"/>
          <w:lang w:val="en-US"/>
        </w:rPr>
        <w:t>ndividual</w:t>
      </w:r>
      <w:r w:rsidR="00346AC9" w:rsidRPr="00211493">
        <w:rPr>
          <w:bCs/>
          <w:sz w:val="20"/>
          <w:szCs w:val="20"/>
          <w:lang w:val="en-US"/>
        </w:rPr>
        <w:t xml:space="preserve">, Imaging </w:t>
      </w:r>
      <w:r w:rsidR="003E2971" w:rsidRPr="00211493">
        <w:rPr>
          <w:bCs/>
          <w:sz w:val="20"/>
          <w:szCs w:val="20"/>
          <w:lang w:val="en-US"/>
        </w:rPr>
        <w:t>file</w:t>
      </w:r>
    </w:p>
    <w:p w14:paraId="36365A04" w14:textId="77777777" w:rsidR="000B4E1A" w:rsidRPr="00211493" w:rsidRDefault="000B4E1A" w:rsidP="00A97E6A">
      <w:pPr>
        <w:rPr>
          <w:bCs/>
          <w:sz w:val="20"/>
          <w:szCs w:val="20"/>
          <w:lang w:val="en-US"/>
        </w:rPr>
      </w:pPr>
    </w:p>
    <w:p w14:paraId="33757179" w14:textId="77777777" w:rsidR="00657DEF" w:rsidRPr="00211493" w:rsidRDefault="00657DEF" w:rsidP="00A97E6A">
      <w:pPr>
        <w:tabs>
          <w:tab w:val="right" w:pos="4320"/>
          <w:tab w:val="left" w:pos="4680"/>
          <w:tab w:val="right" w:pos="6480"/>
          <w:tab w:val="left" w:pos="6840"/>
          <w:tab w:val="right" w:pos="8640"/>
          <w:tab w:val="left" w:pos="9000"/>
          <w:tab w:val="right" w:pos="10800"/>
        </w:tabs>
        <w:spacing w:after="120"/>
        <w:rPr>
          <w:b/>
          <w:bCs/>
          <w:szCs w:val="24"/>
          <w:u w:val="single"/>
          <w:lang w:val="en-US"/>
        </w:rPr>
        <w:sectPr w:rsidR="00657DEF" w:rsidRPr="00211493" w:rsidSect="00994055">
          <w:footerReference w:type="default" r:id="rId10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</w:p>
    <w:p w14:paraId="05657DA8" w14:textId="117AEA26" w:rsidR="00D07451" w:rsidRPr="00657DEF" w:rsidRDefault="00D07451" w:rsidP="00E41C7A">
      <w:pPr>
        <w:spacing w:after="120"/>
        <w:rPr>
          <w:b/>
          <w:bCs/>
          <w:i/>
          <w:iCs/>
          <w:sz w:val="22"/>
        </w:rPr>
      </w:pPr>
      <w:proofErr w:type="spellStart"/>
      <w:r w:rsidRPr="00657DEF">
        <w:rPr>
          <w:b/>
          <w:bCs/>
          <w:sz w:val="22"/>
          <w:u w:val="single"/>
        </w:rPr>
        <w:lastRenderedPageBreak/>
        <w:t>The</w:t>
      </w:r>
      <w:proofErr w:type="spellEnd"/>
      <w:r w:rsidRPr="00657DEF">
        <w:rPr>
          <w:b/>
          <w:bCs/>
          <w:sz w:val="22"/>
          <w:u w:val="single"/>
        </w:rPr>
        <w:t xml:space="preserve"> </w:t>
      </w:r>
      <w:proofErr w:type="spellStart"/>
      <w:r w:rsidRPr="00657DEF">
        <w:rPr>
          <w:b/>
          <w:bCs/>
          <w:sz w:val="22"/>
          <w:u w:val="single"/>
        </w:rPr>
        <w:t>following</w:t>
      </w:r>
      <w:proofErr w:type="spellEnd"/>
      <w:r w:rsidRPr="00657DEF">
        <w:rPr>
          <w:b/>
          <w:bCs/>
          <w:sz w:val="22"/>
          <w:u w:val="single"/>
        </w:rPr>
        <w:t xml:space="preserve"> are </w:t>
      </w:r>
      <w:proofErr w:type="spellStart"/>
      <w:r w:rsidRPr="00657DEF">
        <w:rPr>
          <w:b/>
          <w:bCs/>
          <w:sz w:val="22"/>
          <w:u w:val="single"/>
        </w:rPr>
        <w:t>not</w:t>
      </w:r>
      <w:proofErr w:type="spellEnd"/>
      <w:r w:rsidRPr="00657DEF">
        <w:rPr>
          <w:b/>
          <w:bCs/>
          <w:sz w:val="22"/>
          <w:u w:val="single"/>
        </w:rPr>
        <w:t xml:space="preserve"> eligible to earn </w:t>
      </w:r>
      <w:r w:rsidR="0076550E" w:rsidRPr="00657DEF">
        <w:rPr>
          <w:b/>
          <w:bCs/>
          <w:sz w:val="22"/>
          <w:u w:val="single"/>
        </w:rPr>
        <w:t>SCC</w:t>
      </w:r>
      <w:r w:rsidR="00FD6F6C" w:rsidRPr="00657DEF">
        <w:rPr>
          <w:b/>
          <w:bCs/>
          <w:sz w:val="22"/>
          <w:u w:val="single"/>
        </w:rPr>
        <w:t>/</w:t>
      </w:r>
      <w:r w:rsidR="00FD6F6C" w:rsidRPr="00657DEF">
        <w:rPr>
          <w:b/>
          <w:bCs/>
          <w:i/>
          <w:iCs/>
          <w:sz w:val="22"/>
          <w:u w:val="single"/>
        </w:rPr>
        <w:t xml:space="preserve"> Los siguientes no son elegibles para ganar SCC</w:t>
      </w:r>
      <w:r w:rsidR="00FD6F6C" w:rsidRPr="00657DEF">
        <w:rPr>
          <w:b/>
          <w:bCs/>
          <w:i/>
          <w:iCs/>
          <w:sz w:val="22"/>
        </w:rPr>
        <w:t>:</w:t>
      </w:r>
    </w:p>
    <w:p w14:paraId="50E3C3C4" w14:textId="0F347B37" w:rsidR="0076550E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11" w:history="1">
        <w:r w:rsidR="0076550E" w:rsidRPr="00211493">
          <w:rPr>
            <w:rStyle w:val="Hyperlink"/>
            <w:sz w:val="22"/>
            <w:lang w:val="en-US"/>
          </w:rPr>
          <w:t>Sentenced under RCW 9.94A.507</w:t>
        </w:r>
      </w:hyperlink>
      <w:r w:rsidR="0076550E" w:rsidRPr="00211493">
        <w:rPr>
          <w:sz w:val="22"/>
          <w:lang w:val="en-US"/>
        </w:rPr>
        <w:t xml:space="preserve"> (Sentencing of Sex Offenders) including attempted:</w:t>
      </w:r>
    </w:p>
    <w:p w14:paraId="2F14E7A9" w14:textId="6759CB29" w:rsidR="00FD6F6C" w:rsidRPr="00657DEF" w:rsidRDefault="00B96998" w:rsidP="00E41C7A">
      <w:pPr>
        <w:pStyle w:val="ListParagraph"/>
        <w:ind w:left="360"/>
        <w:contextualSpacing w:val="0"/>
        <w:rPr>
          <w:i/>
          <w:iCs/>
          <w:sz w:val="22"/>
        </w:rPr>
      </w:pPr>
      <w:hyperlink r:id="rId12" w:history="1">
        <w:r w:rsidR="00344E35" w:rsidRPr="00657DEF">
          <w:rPr>
            <w:rStyle w:val="Hyperlink"/>
            <w:i/>
            <w:iCs/>
            <w:sz w:val="22"/>
          </w:rPr>
          <w:t>Conden</w:t>
        </w:r>
        <w:r w:rsidR="00FD6F6C" w:rsidRPr="00657DEF">
          <w:rPr>
            <w:rStyle w:val="Hyperlink"/>
            <w:i/>
            <w:iCs/>
            <w:sz w:val="22"/>
          </w:rPr>
          <w:t xml:space="preserve">ado en virtud de RCW 9.94A.507 </w:t>
        </w:r>
      </w:hyperlink>
      <w:r w:rsidR="00FD6F6C" w:rsidRPr="00657DEF">
        <w:rPr>
          <w:i/>
          <w:iCs/>
          <w:sz w:val="22"/>
        </w:rPr>
        <w:t>(Sentencia de delincuentes sexuales), incluida la tentativa:</w:t>
      </w:r>
    </w:p>
    <w:p w14:paraId="6AA36157" w14:textId="5A6C02C7" w:rsidR="0076550E" w:rsidRPr="00657DEF" w:rsidRDefault="0076550E" w:rsidP="00CA2206">
      <w:pPr>
        <w:pStyle w:val="ListParagraph"/>
        <w:numPr>
          <w:ilvl w:val="0"/>
          <w:numId w:val="3"/>
        </w:numPr>
        <w:ind w:left="720"/>
        <w:contextualSpacing w:val="0"/>
        <w:rPr>
          <w:i/>
          <w:iCs/>
          <w:sz w:val="22"/>
        </w:rPr>
      </w:pPr>
      <w:r w:rsidRPr="00657DEF">
        <w:rPr>
          <w:sz w:val="22"/>
        </w:rPr>
        <w:t>Rape 1 or 2</w:t>
      </w:r>
      <w:r w:rsidR="00FD6F6C" w:rsidRPr="00657DEF">
        <w:rPr>
          <w:sz w:val="22"/>
        </w:rPr>
        <w:t xml:space="preserve"> / </w:t>
      </w:r>
      <w:r w:rsidR="00FD6F6C" w:rsidRPr="00657DEF">
        <w:rPr>
          <w:i/>
          <w:iCs/>
          <w:sz w:val="22"/>
        </w:rPr>
        <w:t>Violación 1 o 2</w:t>
      </w:r>
    </w:p>
    <w:p w14:paraId="5456B793" w14:textId="2F419092" w:rsidR="0076550E" w:rsidRPr="00211493" w:rsidRDefault="0076550E" w:rsidP="00CA2206">
      <w:pPr>
        <w:pStyle w:val="ListParagraph"/>
        <w:numPr>
          <w:ilvl w:val="0"/>
          <w:numId w:val="3"/>
        </w:numPr>
        <w:ind w:left="720"/>
        <w:contextualSpacing w:val="0"/>
        <w:rPr>
          <w:sz w:val="22"/>
          <w:lang w:val="en-US"/>
        </w:rPr>
      </w:pPr>
      <w:r w:rsidRPr="00211493">
        <w:rPr>
          <w:sz w:val="22"/>
          <w:lang w:val="en-US"/>
        </w:rPr>
        <w:t xml:space="preserve">Rape of Child 1 or 2, except offender </w:t>
      </w:r>
      <w:proofErr w:type="gramStart"/>
      <w:r w:rsidRPr="00211493">
        <w:rPr>
          <w:sz w:val="22"/>
          <w:lang w:val="en-US"/>
        </w:rPr>
        <w:t>age</w:t>
      </w:r>
      <w:proofErr w:type="gramEnd"/>
      <w:r w:rsidRPr="00211493">
        <w:rPr>
          <w:sz w:val="22"/>
          <w:lang w:val="en-US"/>
        </w:rPr>
        <w:t xml:space="preserve"> 17 or younger</w:t>
      </w:r>
    </w:p>
    <w:p w14:paraId="0D2FCE13" w14:textId="0348629D" w:rsidR="00FD6F6C" w:rsidRPr="00657DEF" w:rsidRDefault="00FD6F6C" w:rsidP="00CA2206">
      <w:pPr>
        <w:pStyle w:val="ListParagraph"/>
        <w:contextualSpacing w:val="0"/>
        <w:rPr>
          <w:i/>
          <w:iCs/>
          <w:sz w:val="22"/>
        </w:rPr>
      </w:pPr>
      <w:r w:rsidRPr="00657DEF">
        <w:rPr>
          <w:i/>
          <w:iCs/>
          <w:sz w:val="22"/>
        </w:rPr>
        <w:t xml:space="preserve">Violación de un </w:t>
      </w:r>
      <w:r w:rsidR="00D910E6" w:rsidRPr="00657DEF">
        <w:rPr>
          <w:i/>
          <w:iCs/>
          <w:sz w:val="22"/>
        </w:rPr>
        <w:t>Menor</w:t>
      </w:r>
      <w:r w:rsidRPr="00657DEF">
        <w:rPr>
          <w:i/>
          <w:iCs/>
          <w:sz w:val="22"/>
        </w:rPr>
        <w:t xml:space="preserve"> 1 o 2, excepto </w:t>
      </w:r>
      <w:r w:rsidR="00D910E6" w:rsidRPr="00657DEF">
        <w:rPr>
          <w:i/>
          <w:iCs/>
          <w:sz w:val="22"/>
        </w:rPr>
        <w:t>cuando la edad d</w:t>
      </w:r>
      <w:r w:rsidRPr="00657DEF">
        <w:rPr>
          <w:i/>
          <w:iCs/>
          <w:sz w:val="22"/>
        </w:rPr>
        <w:t xml:space="preserve">el agresor </w:t>
      </w:r>
      <w:r w:rsidR="00D910E6" w:rsidRPr="00657DEF">
        <w:rPr>
          <w:i/>
          <w:iCs/>
          <w:sz w:val="22"/>
        </w:rPr>
        <w:t xml:space="preserve">es </w:t>
      </w:r>
      <w:r w:rsidRPr="00657DEF">
        <w:rPr>
          <w:i/>
          <w:iCs/>
          <w:sz w:val="22"/>
        </w:rPr>
        <w:t>de 17 años o menos</w:t>
      </w:r>
    </w:p>
    <w:p w14:paraId="4F4E855B" w14:textId="0AFBE4EC" w:rsidR="0076550E" w:rsidRPr="00211493" w:rsidRDefault="0076550E" w:rsidP="00CA2206">
      <w:pPr>
        <w:pStyle w:val="ListParagraph"/>
        <w:numPr>
          <w:ilvl w:val="0"/>
          <w:numId w:val="3"/>
        </w:numPr>
        <w:ind w:left="720"/>
        <w:contextualSpacing w:val="0"/>
        <w:rPr>
          <w:sz w:val="22"/>
          <w:lang w:val="en-US"/>
        </w:rPr>
      </w:pPr>
      <w:r w:rsidRPr="00211493">
        <w:rPr>
          <w:sz w:val="22"/>
          <w:lang w:val="en-US"/>
        </w:rPr>
        <w:t xml:space="preserve">Child Molestation 1, except offender </w:t>
      </w:r>
      <w:proofErr w:type="gramStart"/>
      <w:r w:rsidRPr="00211493">
        <w:rPr>
          <w:sz w:val="22"/>
          <w:lang w:val="en-US"/>
        </w:rPr>
        <w:t>age</w:t>
      </w:r>
      <w:proofErr w:type="gramEnd"/>
      <w:r w:rsidRPr="00211493">
        <w:rPr>
          <w:sz w:val="22"/>
          <w:lang w:val="en-US"/>
        </w:rPr>
        <w:t xml:space="preserve"> 17 or younger</w:t>
      </w:r>
    </w:p>
    <w:p w14:paraId="7C89FAF0" w14:textId="217DB018" w:rsidR="00D910E6" w:rsidRPr="00657DEF" w:rsidRDefault="00D910E6" w:rsidP="00CA2206">
      <w:pPr>
        <w:pStyle w:val="ListParagraph"/>
        <w:contextualSpacing w:val="0"/>
        <w:rPr>
          <w:sz w:val="22"/>
        </w:rPr>
      </w:pPr>
      <w:r w:rsidRPr="00657DEF">
        <w:rPr>
          <w:i/>
          <w:iCs/>
          <w:sz w:val="22"/>
        </w:rPr>
        <w:t>Abuso de menores 1, excepto cuando la edad del agresor es de 17 años o menos</w:t>
      </w:r>
    </w:p>
    <w:p w14:paraId="286F11B7" w14:textId="77777777" w:rsidR="00E83F66" w:rsidRPr="00657DEF" w:rsidRDefault="0076550E" w:rsidP="00CA2206">
      <w:pPr>
        <w:pStyle w:val="ListParagraph"/>
        <w:numPr>
          <w:ilvl w:val="0"/>
          <w:numId w:val="3"/>
        </w:numPr>
        <w:ind w:left="720"/>
        <w:contextualSpacing w:val="0"/>
        <w:rPr>
          <w:i/>
          <w:iCs/>
          <w:sz w:val="22"/>
        </w:rPr>
      </w:pPr>
      <w:r w:rsidRPr="00657DEF">
        <w:rPr>
          <w:sz w:val="22"/>
        </w:rPr>
        <w:t>Indecent Liberties by Forcible Compulsion</w:t>
      </w:r>
      <w:r w:rsidR="00D910E6" w:rsidRPr="00657DEF">
        <w:rPr>
          <w:sz w:val="22"/>
        </w:rPr>
        <w:t xml:space="preserve"> / </w:t>
      </w:r>
      <w:r w:rsidR="00D910E6" w:rsidRPr="00657DEF">
        <w:rPr>
          <w:i/>
          <w:iCs/>
          <w:sz w:val="22"/>
        </w:rPr>
        <w:t>Libertades Indecentes por Compulsión Forzosa</w:t>
      </w:r>
    </w:p>
    <w:p w14:paraId="337ACF33" w14:textId="58008EB1" w:rsidR="0076550E" w:rsidRPr="00211493" w:rsidRDefault="0076550E" w:rsidP="00CA2206">
      <w:pPr>
        <w:pStyle w:val="ListParagraph"/>
        <w:numPr>
          <w:ilvl w:val="0"/>
          <w:numId w:val="3"/>
        </w:numPr>
        <w:ind w:left="720"/>
        <w:contextualSpacing w:val="0"/>
        <w:rPr>
          <w:i/>
          <w:iCs/>
          <w:sz w:val="22"/>
          <w:lang w:val="en-US"/>
        </w:rPr>
      </w:pPr>
      <w:r w:rsidRPr="00211493">
        <w:rPr>
          <w:sz w:val="22"/>
          <w:lang w:val="en-US"/>
        </w:rPr>
        <w:t>Sentence for any of the following offenses with a finding of sexual motivation:</w:t>
      </w:r>
    </w:p>
    <w:p w14:paraId="7DA0403B" w14:textId="1E0374EC" w:rsidR="00D910E6" w:rsidRPr="00657DEF" w:rsidRDefault="00E83F66" w:rsidP="00CA2206">
      <w:pPr>
        <w:pStyle w:val="ListParagraph"/>
        <w:ind w:hanging="360"/>
        <w:contextualSpacing w:val="0"/>
        <w:rPr>
          <w:i/>
          <w:iCs/>
          <w:sz w:val="22"/>
        </w:rPr>
      </w:pPr>
      <w:r w:rsidRPr="00211493">
        <w:rPr>
          <w:i/>
          <w:iCs/>
          <w:sz w:val="22"/>
          <w:lang w:val="en-US"/>
        </w:rPr>
        <w:tab/>
      </w:r>
      <w:r w:rsidR="00D910E6" w:rsidRPr="00657DEF">
        <w:rPr>
          <w:i/>
          <w:iCs/>
          <w:sz w:val="22"/>
        </w:rPr>
        <w:t>Sentencia por cualquiera de los siguientes delitos con una constatación de motivación sexual:</w:t>
      </w:r>
    </w:p>
    <w:p w14:paraId="52F4DC1A" w14:textId="37C6690D" w:rsidR="0076550E" w:rsidRPr="00657DEF" w:rsidRDefault="0076550E" w:rsidP="00CA2206">
      <w:pPr>
        <w:pStyle w:val="ListParagraph"/>
        <w:numPr>
          <w:ilvl w:val="1"/>
          <w:numId w:val="3"/>
        </w:numPr>
        <w:ind w:left="1080"/>
        <w:contextualSpacing w:val="0"/>
        <w:rPr>
          <w:i/>
          <w:iCs/>
          <w:sz w:val="22"/>
        </w:rPr>
      </w:pPr>
      <w:r w:rsidRPr="00657DEF">
        <w:rPr>
          <w:sz w:val="22"/>
        </w:rPr>
        <w:t>Murder 1 or 2</w:t>
      </w:r>
      <w:r w:rsidR="00D910E6" w:rsidRPr="00657DEF">
        <w:rPr>
          <w:sz w:val="22"/>
        </w:rPr>
        <w:t xml:space="preserve"> / </w:t>
      </w:r>
      <w:r w:rsidR="00D910E6" w:rsidRPr="00657DEF">
        <w:rPr>
          <w:i/>
          <w:iCs/>
          <w:sz w:val="22"/>
        </w:rPr>
        <w:t>Asesinato 1 o 2</w:t>
      </w:r>
    </w:p>
    <w:p w14:paraId="1EE81C5C" w14:textId="15DF2740" w:rsidR="0076550E" w:rsidRPr="00657DEF" w:rsidRDefault="0076550E" w:rsidP="00CA2206">
      <w:pPr>
        <w:pStyle w:val="ListParagraph"/>
        <w:numPr>
          <w:ilvl w:val="1"/>
          <w:numId w:val="3"/>
        </w:numPr>
        <w:ind w:left="1080"/>
        <w:contextualSpacing w:val="0"/>
        <w:rPr>
          <w:i/>
          <w:iCs/>
          <w:sz w:val="22"/>
        </w:rPr>
      </w:pPr>
      <w:r w:rsidRPr="00657DEF">
        <w:rPr>
          <w:sz w:val="22"/>
        </w:rPr>
        <w:t>Homicide by Abuse</w:t>
      </w:r>
      <w:r w:rsidR="00D910E6" w:rsidRPr="00657DEF">
        <w:rPr>
          <w:sz w:val="22"/>
        </w:rPr>
        <w:t xml:space="preserve"> / </w:t>
      </w:r>
      <w:r w:rsidR="00D910E6" w:rsidRPr="00657DEF">
        <w:rPr>
          <w:i/>
          <w:iCs/>
          <w:sz w:val="22"/>
        </w:rPr>
        <w:t>Homicidio por maltrato</w:t>
      </w:r>
    </w:p>
    <w:p w14:paraId="537545C6" w14:textId="4B98B05C" w:rsidR="0076550E" w:rsidRPr="00657DEF" w:rsidRDefault="0076550E" w:rsidP="00CA2206">
      <w:pPr>
        <w:pStyle w:val="ListParagraph"/>
        <w:numPr>
          <w:ilvl w:val="1"/>
          <w:numId w:val="3"/>
        </w:numPr>
        <w:ind w:left="1080"/>
        <w:contextualSpacing w:val="0"/>
        <w:rPr>
          <w:rFonts w:eastAsia="Times New Roman" w:cs="Times New Roman"/>
          <w:i/>
          <w:iCs/>
          <w:sz w:val="22"/>
        </w:rPr>
      </w:pPr>
      <w:r w:rsidRPr="00657DEF">
        <w:rPr>
          <w:sz w:val="22"/>
        </w:rPr>
        <w:t>Kidnapping 1 or 2</w:t>
      </w:r>
      <w:r w:rsidR="00D910E6" w:rsidRPr="00657DEF">
        <w:rPr>
          <w:sz w:val="22"/>
        </w:rPr>
        <w:t xml:space="preserve"> / </w:t>
      </w:r>
      <w:r w:rsidR="00D910E6" w:rsidRPr="00657DEF">
        <w:rPr>
          <w:rFonts w:eastAsia="Times New Roman" w:cs="Times New Roman"/>
          <w:i/>
          <w:iCs/>
          <w:sz w:val="22"/>
        </w:rPr>
        <w:t>Secuestro 1 o 2</w:t>
      </w:r>
    </w:p>
    <w:p w14:paraId="2CA789A4" w14:textId="73000942" w:rsidR="0076550E" w:rsidRPr="00657DEF" w:rsidRDefault="0076550E" w:rsidP="00CA2206">
      <w:pPr>
        <w:pStyle w:val="ListParagraph"/>
        <w:numPr>
          <w:ilvl w:val="1"/>
          <w:numId w:val="3"/>
        </w:numPr>
        <w:ind w:left="1080"/>
        <w:contextualSpacing w:val="0"/>
        <w:rPr>
          <w:sz w:val="22"/>
        </w:rPr>
      </w:pPr>
      <w:r w:rsidRPr="00657DEF">
        <w:rPr>
          <w:sz w:val="22"/>
        </w:rPr>
        <w:t>Assault 1 or 2</w:t>
      </w:r>
      <w:r w:rsidR="00D910E6" w:rsidRPr="00657DEF">
        <w:rPr>
          <w:sz w:val="22"/>
        </w:rPr>
        <w:t xml:space="preserve"> / </w:t>
      </w:r>
      <w:r w:rsidR="00D910E6" w:rsidRPr="00657DEF">
        <w:rPr>
          <w:i/>
          <w:iCs/>
          <w:sz w:val="22"/>
        </w:rPr>
        <w:t>Agresión 1 o 2</w:t>
      </w:r>
    </w:p>
    <w:p w14:paraId="041AF327" w14:textId="219EAD0F" w:rsidR="0076550E" w:rsidRPr="00211493" w:rsidRDefault="0076550E" w:rsidP="00CA2206">
      <w:pPr>
        <w:pStyle w:val="ListParagraph"/>
        <w:numPr>
          <w:ilvl w:val="1"/>
          <w:numId w:val="3"/>
        </w:numPr>
        <w:ind w:left="1080"/>
        <w:contextualSpacing w:val="0"/>
        <w:rPr>
          <w:sz w:val="22"/>
          <w:lang w:val="en-US"/>
        </w:rPr>
      </w:pPr>
      <w:r w:rsidRPr="00211493">
        <w:rPr>
          <w:sz w:val="22"/>
          <w:lang w:val="en-US"/>
        </w:rPr>
        <w:t>Assault of Child 1 or 2</w:t>
      </w:r>
      <w:r w:rsidR="00D910E6" w:rsidRPr="00211493">
        <w:rPr>
          <w:sz w:val="22"/>
          <w:lang w:val="en-US"/>
        </w:rPr>
        <w:t xml:space="preserve"> / </w:t>
      </w:r>
      <w:proofErr w:type="spellStart"/>
      <w:r w:rsidR="00D910E6" w:rsidRPr="00211493">
        <w:rPr>
          <w:i/>
          <w:iCs/>
          <w:sz w:val="22"/>
          <w:lang w:val="en-US"/>
        </w:rPr>
        <w:t>Agresión</w:t>
      </w:r>
      <w:proofErr w:type="spellEnd"/>
      <w:r w:rsidR="00D910E6" w:rsidRPr="00211493">
        <w:rPr>
          <w:i/>
          <w:iCs/>
          <w:sz w:val="22"/>
          <w:lang w:val="en-US"/>
        </w:rPr>
        <w:t xml:space="preserve"> a un </w:t>
      </w:r>
      <w:proofErr w:type="spellStart"/>
      <w:r w:rsidR="00D910E6" w:rsidRPr="00211493">
        <w:rPr>
          <w:i/>
          <w:iCs/>
          <w:sz w:val="22"/>
          <w:lang w:val="en-US"/>
        </w:rPr>
        <w:t>menor</w:t>
      </w:r>
      <w:proofErr w:type="spellEnd"/>
      <w:r w:rsidR="00D910E6" w:rsidRPr="00211493">
        <w:rPr>
          <w:i/>
          <w:iCs/>
          <w:sz w:val="22"/>
          <w:lang w:val="en-US"/>
        </w:rPr>
        <w:t xml:space="preserve"> 1 o 2</w:t>
      </w:r>
    </w:p>
    <w:p w14:paraId="56A9E30A" w14:textId="30F20070" w:rsidR="0076550E" w:rsidRPr="00657DEF" w:rsidRDefault="0076550E" w:rsidP="008909EC">
      <w:pPr>
        <w:pStyle w:val="ListParagraph"/>
        <w:numPr>
          <w:ilvl w:val="1"/>
          <w:numId w:val="3"/>
        </w:numPr>
        <w:spacing w:after="60"/>
        <w:ind w:left="1080"/>
        <w:contextualSpacing w:val="0"/>
        <w:rPr>
          <w:sz w:val="22"/>
        </w:rPr>
      </w:pPr>
      <w:proofErr w:type="spellStart"/>
      <w:r w:rsidRPr="00657DEF">
        <w:rPr>
          <w:sz w:val="22"/>
        </w:rPr>
        <w:t>Burglary</w:t>
      </w:r>
      <w:proofErr w:type="spellEnd"/>
      <w:r w:rsidRPr="00657DEF">
        <w:rPr>
          <w:sz w:val="22"/>
        </w:rPr>
        <w:t xml:space="preserve"> 1</w:t>
      </w:r>
      <w:r w:rsidR="00D910E6" w:rsidRPr="00657DEF">
        <w:rPr>
          <w:sz w:val="22"/>
        </w:rPr>
        <w:t xml:space="preserve"> / Robo 1</w:t>
      </w:r>
    </w:p>
    <w:p w14:paraId="513BCD6B" w14:textId="4E412FE6" w:rsidR="0076550E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13" w:history="1">
        <w:r w:rsidR="0076550E" w:rsidRPr="00211493">
          <w:rPr>
            <w:rStyle w:val="Hyperlink"/>
            <w:sz w:val="22"/>
            <w:lang w:val="en-US"/>
          </w:rPr>
          <w:t xml:space="preserve">Sentenced under </w:t>
        </w:r>
        <w:r w:rsidR="0040656A" w:rsidRPr="00211493">
          <w:rPr>
            <w:rStyle w:val="Hyperlink"/>
            <w:sz w:val="22"/>
            <w:lang w:val="en-US"/>
          </w:rPr>
          <w:t xml:space="preserve">RCW </w:t>
        </w:r>
        <w:r w:rsidR="0076550E" w:rsidRPr="00211493">
          <w:rPr>
            <w:rStyle w:val="Hyperlink"/>
            <w:sz w:val="22"/>
            <w:lang w:val="en-US"/>
          </w:rPr>
          <w:t>10.95.030</w:t>
        </w:r>
      </w:hyperlink>
      <w:r w:rsidR="0076550E" w:rsidRPr="00211493">
        <w:rPr>
          <w:sz w:val="22"/>
          <w:lang w:val="en-US"/>
        </w:rPr>
        <w:t xml:space="preserve"> Aggravated 1</w:t>
      </w:r>
      <w:r w:rsidR="0076550E" w:rsidRPr="00211493">
        <w:rPr>
          <w:sz w:val="22"/>
          <w:vertAlign w:val="superscript"/>
          <w:lang w:val="en-US"/>
        </w:rPr>
        <w:t>st</w:t>
      </w:r>
      <w:r w:rsidR="0076550E" w:rsidRPr="00211493">
        <w:rPr>
          <w:sz w:val="22"/>
          <w:lang w:val="en-US"/>
        </w:rPr>
        <w:t xml:space="preserve"> Degree Murder</w:t>
      </w:r>
    </w:p>
    <w:p w14:paraId="2CAB4A28" w14:textId="658E202A" w:rsidR="004C1330" w:rsidRPr="00657DEF" w:rsidRDefault="00B96998" w:rsidP="00E41C7A">
      <w:pPr>
        <w:pStyle w:val="ListParagraph"/>
        <w:spacing w:after="120"/>
        <w:ind w:left="360"/>
        <w:contextualSpacing w:val="0"/>
        <w:rPr>
          <w:i/>
          <w:iCs/>
          <w:sz w:val="22"/>
        </w:rPr>
      </w:pPr>
      <w:hyperlink r:id="rId14" w:history="1">
        <w:r w:rsidR="004C1330" w:rsidRPr="00657DEF">
          <w:rPr>
            <w:rStyle w:val="Hyperlink"/>
            <w:i/>
            <w:iCs/>
            <w:sz w:val="22"/>
          </w:rPr>
          <w:t>Condenado en virtud de</w:t>
        </w:r>
        <w:r w:rsidR="00344E35" w:rsidRPr="00657DEF">
          <w:rPr>
            <w:rStyle w:val="Hyperlink"/>
            <w:i/>
            <w:iCs/>
            <w:sz w:val="22"/>
          </w:rPr>
          <w:t>l</w:t>
        </w:r>
        <w:r w:rsidR="004C1330" w:rsidRPr="00657DEF">
          <w:rPr>
            <w:rStyle w:val="Hyperlink"/>
            <w:i/>
            <w:iCs/>
            <w:sz w:val="22"/>
          </w:rPr>
          <w:t xml:space="preserve"> RCW 10.95.030</w:t>
        </w:r>
      </w:hyperlink>
      <w:r w:rsidR="005B6456" w:rsidRPr="00657DEF">
        <w:rPr>
          <w:rStyle w:val="Hyperlink"/>
          <w:i/>
          <w:iCs/>
          <w:sz w:val="22"/>
        </w:rPr>
        <w:t xml:space="preserve"> </w:t>
      </w:r>
      <w:r w:rsidR="004C1330" w:rsidRPr="00657DEF">
        <w:rPr>
          <w:i/>
          <w:iCs/>
          <w:sz w:val="22"/>
        </w:rPr>
        <w:t>Asesinato en primer grado con agravantes</w:t>
      </w:r>
    </w:p>
    <w:p w14:paraId="3B5D1A82" w14:textId="6D62E593" w:rsidR="0076550E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15" w:history="1">
        <w:r w:rsidR="0076550E" w:rsidRPr="00211493">
          <w:rPr>
            <w:rStyle w:val="Hyperlink"/>
            <w:sz w:val="22"/>
            <w:lang w:val="en-US"/>
          </w:rPr>
          <w:t>Sentenced under RCW 9.94A.650</w:t>
        </w:r>
      </w:hyperlink>
      <w:r w:rsidR="0076550E" w:rsidRPr="00211493">
        <w:rPr>
          <w:sz w:val="22"/>
          <w:lang w:val="en-US"/>
        </w:rPr>
        <w:t xml:space="preserve"> First Time Offender Waiver (FTOW)</w:t>
      </w:r>
    </w:p>
    <w:p w14:paraId="3EE53D40" w14:textId="166B291C" w:rsidR="004C1330" w:rsidRPr="00657DEF" w:rsidRDefault="00B96998" w:rsidP="00E41C7A">
      <w:pPr>
        <w:pStyle w:val="ListParagraph"/>
        <w:spacing w:after="120"/>
        <w:ind w:left="360"/>
        <w:contextualSpacing w:val="0"/>
        <w:rPr>
          <w:i/>
          <w:iCs/>
          <w:sz w:val="22"/>
        </w:rPr>
      </w:pPr>
      <w:hyperlink r:id="rId16" w:history="1">
        <w:r w:rsidR="004C1330" w:rsidRPr="00657DEF">
          <w:rPr>
            <w:rStyle w:val="Hyperlink"/>
            <w:i/>
            <w:iCs/>
            <w:sz w:val="22"/>
          </w:rPr>
          <w:t>Condenado en virtud de</w:t>
        </w:r>
        <w:r w:rsidR="00344E35" w:rsidRPr="00657DEF">
          <w:rPr>
            <w:rStyle w:val="Hyperlink"/>
            <w:i/>
            <w:iCs/>
            <w:sz w:val="22"/>
          </w:rPr>
          <w:t>l</w:t>
        </w:r>
        <w:r w:rsidR="004C1330" w:rsidRPr="00657DEF">
          <w:rPr>
            <w:rStyle w:val="Hyperlink"/>
            <w:i/>
            <w:iCs/>
            <w:sz w:val="22"/>
          </w:rPr>
          <w:t xml:space="preserve"> RCW 9.94A.650 </w:t>
        </w:r>
      </w:hyperlink>
      <w:r w:rsidR="004C1330" w:rsidRPr="00657DEF">
        <w:rPr>
          <w:sz w:val="22"/>
          <w:szCs w:val="20"/>
        </w:rPr>
        <w:t xml:space="preserve"> </w:t>
      </w:r>
      <w:r w:rsidR="004C1330" w:rsidRPr="00657DEF">
        <w:rPr>
          <w:i/>
          <w:iCs/>
          <w:sz w:val="22"/>
        </w:rPr>
        <w:t>Exención para delicuente de primera vez (FTOW)</w:t>
      </w:r>
    </w:p>
    <w:p w14:paraId="402A3289" w14:textId="676DEF14" w:rsidR="0076550E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17" w:history="1">
        <w:r w:rsidR="0076550E" w:rsidRPr="00211493">
          <w:rPr>
            <w:rStyle w:val="Hyperlink"/>
            <w:sz w:val="22"/>
            <w:lang w:val="en-US"/>
          </w:rPr>
          <w:t>Sentenced under RCW 9.94A.65</w:t>
        </w:r>
        <w:r w:rsidR="000A3EA3" w:rsidRPr="00211493">
          <w:rPr>
            <w:rStyle w:val="Hyperlink"/>
            <w:sz w:val="22"/>
            <w:lang w:val="en-US"/>
          </w:rPr>
          <w:t>5</w:t>
        </w:r>
      </w:hyperlink>
      <w:r w:rsidR="0076550E" w:rsidRPr="00211493">
        <w:rPr>
          <w:sz w:val="22"/>
          <w:lang w:val="en-US"/>
        </w:rPr>
        <w:t xml:space="preserve"> </w:t>
      </w:r>
      <w:r w:rsidR="000A3EA3" w:rsidRPr="00211493">
        <w:rPr>
          <w:sz w:val="22"/>
          <w:lang w:val="en-US"/>
        </w:rPr>
        <w:t>Family and Offender Sentencing Alternative (FOSA)</w:t>
      </w:r>
    </w:p>
    <w:p w14:paraId="55BCF64D" w14:textId="5FF52E8A" w:rsidR="004C1330" w:rsidRPr="00657DEF" w:rsidRDefault="00B96998" w:rsidP="00E41C7A">
      <w:pPr>
        <w:pStyle w:val="ListParagraph"/>
        <w:ind w:left="360"/>
        <w:contextualSpacing w:val="0"/>
        <w:rPr>
          <w:i/>
          <w:iCs/>
          <w:sz w:val="22"/>
        </w:rPr>
      </w:pPr>
      <w:hyperlink r:id="rId18" w:history="1">
        <w:r w:rsidR="004C1330" w:rsidRPr="00657DEF">
          <w:rPr>
            <w:rStyle w:val="Hyperlink"/>
            <w:i/>
            <w:iCs/>
            <w:sz w:val="22"/>
          </w:rPr>
          <w:t>Condenado en virtud de</w:t>
        </w:r>
        <w:r w:rsidR="00344E35" w:rsidRPr="00657DEF">
          <w:rPr>
            <w:rStyle w:val="Hyperlink"/>
            <w:i/>
            <w:iCs/>
            <w:sz w:val="22"/>
          </w:rPr>
          <w:t>l</w:t>
        </w:r>
        <w:r w:rsidR="004C1330" w:rsidRPr="00657DEF">
          <w:rPr>
            <w:rStyle w:val="Hyperlink"/>
            <w:i/>
            <w:iCs/>
            <w:sz w:val="22"/>
          </w:rPr>
          <w:t xml:space="preserve"> RCW 9.94A.655 </w:t>
        </w:r>
      </w:hyperlink>
      <w:r w:rsidR="004C1330" w:rsidRPr="00657DEF">
        <w:rPr>
          <w:i/>
          <w:iCs/>
          <w:sz w:val="22"/>
        </w:rPr>
        <w:t xml:space="preserve"> Alternativa de Sentencia para Delincuente con Familia (FOSA)</w:t>
      </w:r>
    </w:p>
    <w:p w14:paraId="07D2DFB3" w14:textId="183D001B" w:rsidR="0076550E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0"/>
          <w:szCs w:val="20"/>
          <w:lang w:val="en-US"/>
        </w:rPr>
      </w:pPr>
      <w:hyperlink r:id="rId19" w:history="1">
        <w:r w:rsidR="0076550E" w:rsidRPr="00211493">
          <w:rPr>
            <w:rStyle w:val="Hyperlink"/>
            <w:sz w:val="22"/>
            <w:lang w:val="en-US"/>
          </w:rPr>
          <w:t>Sentenced under RCW 9.94A.6</w:t>
        </w:r>
        <w:r w:rsidR="000A3EA3" w:rsidRPr="00211493">
          <w:rPr>
            <w:rStyle w:val="Hyperlink"/>
            <w:sz w:val="22"/>
            <w:lang w:val="en-US"/>
          </w:rPr>
          <w:t>60</w:t>
        </w:r>
      </w:hyperlink>
      <w:r w:rsidR="0076550E" w:rsidRPr="00211493">
        <w:rPr>
          <w:sz w:val="22"/>
          <w:lang w:val="en-US"/>
        </w:rPr>
        <w:t xml:space="preserve"> </w:t>
      </w:r>
      <w:r w:rsidR="000A3EA3" w:rsidRPr="00211493">
        <w:rPr>
          <w:sz w:val="22"/>
          <w:lang w:val="en-US"/>
        </w:rPr>
        <w:t xml:space="preserve">Drug Offender Sentencing Alternative </w:t>
      </w:r>
      <w:r w:rsidR="000A3EA3" w:rsidRPr="00211493">
        <w:rPr>
          <w:sz w:val="20"/>
          <w:szCs w:val="20"/>
          <w:lang w:val="en-US"/>
        </w:rPr>
        <w:t>(</w:t>
      </w:r>
      <w:r w:rsidR="000A3EA3" w:rsidRPr="00211493">
        <w:rPr>
          <w:sz w:val="22"/>
          <w:lang w:val="en-US"/>
        </w:rPr>
        <w:t>DOSA:</w:t>
      </w:r>
      <w:r w:rsidR="000A3EA3" w:rsidRPr="00211493">
        <w:rPr>
          <w:sz w:val="20"/>
          <w:szCs w:val="20"/>
          <w:lang w:val="en-US"/>
        </w:rPr>
        <w:t xml:space="preserve"> CCD or CCP)</w:t>
      </w:r>
    </w:p>
    <w:p w14:paraId="59EE29BE" w14:textId="40701C99" w:rsidR="004C1330" w:rsidRPr="00657DEF" w:rsidRDefault="00B96998" w:rsidP="00E41C7A">
      <w:pPr>
        <w:pStyle w:val="ListParagraph"/>
        <w:ind w:left="360"/>
        <w:contextualSpacing w:val="0"/>
        <w:rPr>
          <w:i/>
          <w:iCs/>
          <w:sz w:val="20"/>
          <w:szCs w:val="20"/>
        </w:rPr>
      </w:pPr>
      <w:hyperlink r:id="rId20" w:history="1">
        <w:r w:rsidR="004C1330" w:rsidRPr="00657DEF">
          <w:rPr>
            <w:rStyle w:val="Hyperlink"/>
            <w:i/>
            <w:iCs/>
            <w:sz w:val="22"/>
          </w:rPr>
          <w:t>Condenado en virtud de</w:t>
        </w:r>
        <w:r w:rsidR="00344E35" w:rsidRPr="00657DEF">
          <w:rPr>
            <w:rStyle w:val="Hyperlink"/>
            <w:i/>
            <w:iCs/>
            <w:sz w:val="22"/>
          </w:rPr>
          <w:t>l</w:t>
        </w:r>
        <w:r w:rsidR="004C1330" w:rsidRPr="00657DEF">
          <w:rPr>
            <w:rStyle w:val="Hyperlink"/>
            <w:i/>
            <w:iCs/>
            <w:sz w:val="22"/>
          </w:rPr>
          <w:t xml:space="preserve"> RCW 9.94A.660 </w:t>
        </w:r>
      </w:hyperlink>
      <w:r w:rsidR="004C1330" w:rsidRPr="00657DEF">
        <w:rPr>
          <w:i/>
          <w:iCs/>
          <w:sz w:val="22"/>
        </w:rPr>
        <w:t xml:space="preserve"> Alternativa de condena para delincuentes de drogas </w:t>
      </w:r>
      <w:r w:rsidR="004C1330" w:rsidRPr="00657DEF">
        <w:rPr>
          <w:i/>
          <w:iCs/>
          <w:sz w:val="20"/>
          <w:szCs w:val="20"/>
        </w:rPr>
        <w:t>(</w:t>
      </w:r>
      <w:r w:rsidR="004C1330" w:rsidRPr="00657DEF">
        <w:rPr>
          <w:i/>
          <w:iCs/>
          <w:sz w:val="22"/>
        </w:rPr>
        <w:t xml:space="preserve">DOSA: </w:t>
      </w:r>
      <w:r w:rsidR="004C1330" w:rsidRPr="00657DEF">
        <w:rPr>
          <w:i/>
          <w:iCs/>
          <w:sz w:val="20"/>
          <w:szCs w:val="20"/>
        </w:rPr>
        <w:t>CCD o CCP)</w:t>
      </w:r>
    </w:p>
    <w:p w14:paraId="78FCE1D6" w14:textId="6D349A8B" w:rsidR="0076550E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21" w:history="1">
        <w:r w:rsidR="0076550E" w:rsidRPr="00211493">
          <w:rPr>
            <w:rStyle w:val="Hyperlink"/>
            <w:sz w:val="22"/>
            <w:lang w:val="en-US"/>
          </w:rPr>
          <w:t>Sentenced under RCW 9.94A.</w:t>
        </w:r>
        <w:r w:rsidR="000A3EA3" w:rsidRPr="00211493">
          <w:rPr>
            <w:rStyle w:val="Hyperlink"/>
            <w:sz w:val="22"/>
            <w:lang w:val="en-US"/>
          </w:rPr>
          <w:t>670</w:t>
        </w:r>
      </w:hyperlink>
      <w:r w:rsidR="0076550E" w:rsidRPr="00211493">
        <w:rPr>
          <w:sz w:val="22"/>
          <w:lang w:val="en-US"/>
        </w:rPr>
        <w:t xml:space="preserve"> </w:t>
      </w:r>
      <w:r w:rsidR="000A3EA3" w:rsidRPr="00211493">
        <w:rPr>
          <w:sz w:val="22"/>
          <w:lang w:val="en-US"/>
        </w:rPr>
        <w:t>Special Sex Offender Sentence Alternative (SSOSA)</w:t>
      </w:r>
    </w:p>
    <w:p w14:paraId="2A5ECA7E" w14:textId="757E3C22" w:rsidR="004C1330" w:rsidRPr="00657DEF" w:rsidRDefault="00B96998" w:rsidP="00E41C7A">
      <w:pPr>
        <w:pStyle w:val="ListParagraph"/>
        <w:ind w:left="360"/>
        <w:contextualSpacing w:val="0"/>
        <w:rPr>
          <w:i/>
          <w:iCs/>
          <w:sz w:val="22"/>
        </w:rPr>
      </w:pPr>
      <w:hyperlink r:id="rId22" w:history="1">
        <w:r w:rsidR="004C1330" w:rsidRPr="00657DEF">
          <w:rPr>
            <w:rStyle w:val="Hyperlink"/>
            <w:i/>
            <w:iCs/>
            <w:sz w:val="22"/>
          </w:rPr>
          <w:t>Condenado en virtud de</w:t>
        </w:r>
        <w:r w:rsidR="00344E35" w:rsidRPr="00657DEF">
          <w:rPr>
            <w:rStyle w:val="Hyperlink"/>
            <w:i/>
            <w:iCs/>
            <w:sz w:val="22"/>
          </w:rPr>
          <w:t>l</w:t>
        </w:r>
        <w:r w:rsidR="004C1330" w:rsidRPr="00657DEF">
          <w:rPr>
            <w:rStyle w:val="Hyperlink"/>
            <w:i/>
            <w:iCs/>
            <w:sz w:val="22"/>
          </w:rPr>
          <w:t xml:space="preserve"> RCW 9.94A.670 </w:t>
        </w:r>
      </w:hyperlink>
      <w:r w:rsidR="004C1330" w:rsidRPr="00657DEF">
        <w:rPr>
          <w:i/>
          <w:iCs/>
          <w:sz w:val="22"/>
        </w:rPr>
        <w:t>Alternativa de sentencia especial para delincuentes sexuales (SSOSA)</w:t>
      </w:r>
    </w:p>
    <w:p w14:paraId="67A88E11" w14:textId="451EA4B7" w:rsidR="0076550E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23" w:history="1">
        <w:r w:rsidR="00191A59" w:rsidRPr="00211493">
          <w:rPr>
            <w:rStyle w:val="Hyperlink"/>
            <w:sz w:val="22"/>
            <w:lang w:val="en-US"/>
          </w:rPr>
          <w:t>Subject to supervision pursuant to</w:t>
        </w:r>
        <w:r w:rsidR="0076550E" w:rsidRPr="00211493">
          <w:rPr>
            <w:rStyle w:val="Hyperlink"/>
            <w:sz w:val="22"/>
            <w:lang w:val="en-US"/>
          </w:rPr>
          <w:t xml:space="preserve"> RCW 9.94A.</w:t>
        </w:r>
        <w:r w:rsidR="00191A59" w:rsidRPr="00211493">
          <w:rPr>
            <w:rStyle w:val="Hyperlink"/>
            <w:sz w:val="22"/>
            <w:lang w:val="en-US"/>
          </w:rPr>
          <w:t>745</w:t>
        </w:r>
      </w:hyperlink>
      <w:r w:rsidR="0076550E" w:rsidRPr="00211493">
        <w:rPr>
          <w:sz w:val="22"/>
          <w:lang w:val="en-US"/>
        </w:rPr>
        <w:t xml:space="preserve"> </w:t>
      </w:r>
      <w:r w:rsidR="00191A59" w:rsidRPr="00211493">
        <w:rPr>
          <w:sz w:val="22"/>
          <w:lang w:val="en-US"/>
        </w:rPr>
        <w:t>Interstate Compact</w:t>
      </w:r>
    </w:p>
    <w:p w14:paraId="22EB0D57" w14:textId="48DCAAC4" w:rsidR="004C1330" w:rsidRPr="00657DEF" w:rsidRDefault="00B96998" w:rsidP="00E41C7A">
      <w:pPr>
        <w:pStyle w:val="ListParagraph"/>
        <w:ind w:left="360"/>
        <w:contextualSpacing w:val="0"/>
        <w:rPr>
          <w:i/>
          <w:iCs/>
          <w:sz w:val="22"/>
        </w:rPr>
      </w:pPr>
      <w:hyperlink r:id="rId24" w:history="1">
        <w:r w:rsidR="004C1330" w:rsidRPr="00657DEF">
          <w:rPr>
            <w:rStyle w:val="Hyperlink"/>
            <w:i/>
            <w:iCs/>
            <w:sz w:val="22"/>
          </w:rPr>
          <w:t xml:space="preserve">Sujeto a supervisión de acuerdo con </w:t>
        </w:r>
        <w:r w:rsidR="00344E35" w:rsidRPr="00657DEF">
          <w:rPr>
            <w:rStyle w:val="Hyperlink"/>
            <w:i/>
            <w:iCs/>
            <w:sz w:val="22"/>
          </w:rPr>
          <w:t xml:space="preserve">el </w:t>
        </w:r>
        <w:r w:rsidR="004C1330" w:rsidRPr="00657DEF">
          <w:rPr>
            <w:rStyle w:val="Hyperlink"/>
            <w:i/>
            <w:iCs/>
            <w:sz w:val="22"/>
          </w:rPr>
          <w:t xml:space="preserve">RCW 9.94A.745 </w:t>
        </w:r>
      </w:hyperlink>
      <w:r w:rsidR="004C1330" w:rsidRPr="00657DEF">
        <w:rPr>
          <w:i/>
          <w:iCs/>
          <w:sz w:val="22"/>
        </w:rPr>
        <w:t>Pacto Interestatal</w:t>
      </w:r>
    </w:p>
    <w:p w14:paraId="45386B8F" w14:textId="3BA1841C" w:rsidR="0076550E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25" w:history="1">
        <w:r w:rsidR="0076550E" w:rsidRPr="00211493">
          <w:rPr>
            <w:rStyle w:val="Hyperlink"/>
            <w:sz w:val="22"/>
            <w:lang w:val="en-US"/>
          </w:rPr>
          <w:t>Sentenced under RCW 9.94A.6</w:t>
        </w:r>
        <w:r w:rsidR="00191A59" w:rsidRPr="00211493">
          <w:rPr>
            <w:rStyle w:val="Hyperlink"/>
            <w:sz w:val="22"/>
            <w:lang w:val="en-US"/>
          </w:rPr>
          <w:t>90</w:t>
        </w:r>
      </w:hyperlink>
      <w:r w:rsidR="0076550E" w:rsidRPr="00211493">
        <w:rPr>
          <w:sz w:val="22"/>
          <w:lang w:val="en-US"/>
        </w:rPr>
        <w:t xml:space="preserve"> </w:t>
      </w:r>
      <w:r w:rsidR="00191A59" w:rsidRPr="00211493">
        <w:rPr>
          <w:sz w:val="22"/>
          <w:lang w:val="en-US"/>
        </w:rPr>
        <w:t>Work Ethic Camp (WEC)</w:t>
      </w:r>
    </w:p>
    <w:p w14:paraId="145DBA25" w14:textId="5ABE5CDB" w:rsidR="008C6A77" w:rsidRPr="00657DEF" w:rsidRDefault="00B96998" w:rsidP="00E41C7A">
      <w:pPr>
        <w:pStyle w:val="ListParagraph"/>
        <w:ind w:left="360"/>
        <w:contextualSpacing w:val="0"/>
        <w:rPr>
          <w:i/>
          <w:iCs/>
          <w:sz w:val="22"/>
        </w:rPr>
      </w:pPr>
      <w:hyperlink r:id="rId26" w:history="1">
        <w:r w:rsidR="008C6A77" w:rsidRPr="00657DEF">
          <w:rPr>
            <w:rStyle w:val="Hyperlink"/>
            <w:i/>
            <w:iCs/>
            <w:sz w:val="22"/>
          </w:rPr>
          <w:t>Condenado en virtud de</w:t>
        </w:r>
        <w:r w:rsidR="00344E35" w:rsidRPr="00657DEF">
          <w:rPr>
            <w:rStyle w:val="Hyperlink"/>
            <w:i/>
            <w:iCs/>
            <w:sz w:val="22"/>
          </w:rPr>
          <w:t>l</w:t>
        </w:r>
        <w:r w:rsidR="008C6A77" w:rsidRPr="00657DEF">
          <w:rPr>
            <w:rStyle w:val="Hyperlink"/>
            <w:i/>
            <w:iCs/>
            <w:sz w:val="22"/>
          </w:rPr>
          <w:t xml:space="preserve"> RCW 9.94A.690 </w:t>
        </w:r>
      </w:hyperlink>
      <w:r w:rsidR="008C6A77" w:rsidRPr="00657DEF">
        <w:rPr>
          <w:i/>
          <w:iCs/>
          <w:sz w:val="22"/>
        </w:rPr>
        <w:t xml:space="preserve"> Campo de Etica de Trabajo (WEC)</w:t>
      </w:r>
    </w:p>
    <w:p w14:paraId="097192F6" w14:textId="19650705" w:rsidR="00383691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27" w:history="1">
        <w:r w:rsidR="00383691" w:rsidRPr="00211493">
          <w:rPr>
            <w:rStyle w:val="Hyperlink"/>
            <w:sz w:val="22"/>
            <w:lang w:val="en-US"/>
          </w:rPr>
          <w:t>Has an indeterminate sentence and is subject to Parole pursuant to RCW 9.95.017</w:t>
        </w:r>
      </w:hyperlink>
      <w:r w:rsidR="00383691" w:rsidRPr="00211493">
        <w:rPr>
          <w:sz w:val="22"/>
          <w:lang w:val="en-US"/>
        </w:rPr>
        <w:t xml:space="preserve"> (CCB)</w:t>
      </w:r>
    </w:p>
    <w:p w14:paraId="5B43A4B0" w14:textId="6B0B8587" w:rsidR="008C6A77" w:rsidRPr="00657DEF" w:rsidRDefault="00B96998" w:rsidP="00E41C7A">
      <w:pPr>
        <w:pStyle w:val="ListParagraph"/>
        <w:ind w:left="360"/>
        <w:contextualSpacing w:val="0"/>
        <w:rPr>
          <w:i/>
          <w:iCs/>
          <w:sz w:val="22"/>
        </w:rPr>
      </w:pPr>
      <w:hyperlink r:id="rId28" w:history="1">
        <w:r w:rsidR="008C6A77" w:rsidRPr="00657DEF">
          <w:rPr>
            <w:rStyle w:val="Hyperlink"/>
            <w:i/>
            <w:iCs/>
            <w:sz w:val="22"/>
          </w:rPr>
          <w:t xml:space="preserve">Tiene una sentencia indeterminada y está sujeto a la libertad condicional de acuerdo con el RCW 9.95.017 </w:t>
        </w:r>
      </w:hyperlink>
      <w:r w:rsidR="008C6A77" w:rsidRPr="00657DEF">
        <w:rPr>
          <w:i/>
          <w:iCs/>
          <w:sz w:val="22"/>
        </w:rPr>
        <w:t xml:space="preserve">(CCB) </w:t>
      </w:r>
    </w:p>
    <w:p w14:paraId="41A02205" w14:textId="176E31DF" w:rsidR="00383691" w:rsidRPr="00211493" w:rsidRDefault="00B96998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hyperlink r:id="rId29" w:history="1">
        <w:r w:rsidR="00383691" w:rsidRPr="00211493">
          <w:rPr>
            <w:rStyle w:val="Hyperlink"/>
            <w:sz w:val="22"/>
            <w:lang w:val="en-US"/>
          </w:rPr>
          <w:t>Serving community custody pursuant to early release under RCW 9.94A.730</w:t>
        </w:r>
      </w:hyperlink>
      <w:r w:rsidR="00383691" w:rsidRPr="00211493">
        <w:rPr>
          <w:sz w:val="22"/>
          <w:lang w:val="en-US"/>
        </w:rPr>
        <w:t xml:space="preserve"> (</w:t>
      </w:r>
      <w:proofErr w:type="spellStart"/>
      <w:r w:rsidR="00383691" w:rsidRPr="00211493">
        <w:rPr>
          <w:sz w:val="22"/>
          <w:lang w:val="en-US"/>
        </w:rPr>
        <w:t>Juv</w:t>
      </w:r>
      <w:proofErr w:type="spellEnd"/>
      <w:r w:rsidR="00383691" w:rsidRPr="00211493">
        <w:rPr>
          <w:sz w:val="22"/>
          <w:lang w:val="en-US"/>
        </w:rPr>
        <w:t xml:space="preserve"> Board)</w:t>
      </w:r>
    </w:p>
    <w:p w14:paraId="54AD2D9E" w14:textId="24D68F1C" w:rsidR="008C6A77" w:rsidRPr="00657DEF" w:rsidRDefault="00B96998" w:rsidP="00E41C7A">
      <w:pPr>
        <w:pStyle w:val="ListParagraph"/>
        <w:ind w:left="360"/>
        <w:contextualSpacing w:val="0"/>
        <w:rPr>
          <w:i/>
          <w:iCs/>
          <w:sz w:val="22"/>
        </w:rPr>
      </w:pPr>
      <w:hyperlink r:id="rId30" w:history="1">
        <w:r w:rsidR="008C6A77" w:rsidRPr="00657DEF">
          <w:rPr>
            <w:rStyle w:val="Hyperlink"/>
            <w:i/>
            <w:iCs/>
            <w:sz w:val="22"/>
          </w:rPr>
          <w:t xml:space="preserve">Cumple con custodia comunitaria de acuerdo con la liberación temprana bajo el RCW 9.94A.730 </w:t>
        </w:r>
      </w:hyperlink>
      <w:r w:rsidR="008C6A77" w:rsidRPr="00657DEF">
        <w:rPr>
          <w:i/>
          <w:iCs/>
          <w:sz w:val="22"/>
        </w:rPr>
        <w:t>(Junta Juv)</w:t>
      </w:r>
    </w:p>
    <w:p w14:paraId="474803B9" w14:textId="77777777" w:rsidR="008C6A77" w:rsidRPr="00211493" w:rsidRDefault="00C150E7" w:rsidP="00E41C7A">
      <w:pPr>
        <w:pStyle w:val="ListParagraph"/>
        <w:numPr>
          <w:ilvl w:val="0"/>
          <w:numId w:val="6"/>
        </w:numPr>
        <w:ind w:left="360"/>
        <w:contextualSpacing w:val="0"/>
        <w:rPr>
          <w:sz w:val="22"/>
          <w:lang w:val="en-US"/>
        </w:rPr>
      </w:pPr>
      <w:r w:rsidRPr="00211493">
        <w:rPr>
          <w:rFonts w:eastAsia="Calibri" w:cs="Arial"/>
          <w:sz w:val="22"/>
          <w:szCs w:val="20"/>
          <w:lang w:val="en-US"/>
        </w:rPr>
        <w:t>Subject to supervision under one of the following jurisdictions:</w:t>
      </w:r>
    </w:p>
    <w:p w14:paraId="5E03611E" w14:textId="1118F9EA" w:rsidR="00C150E7" w:rsidRPr="00E41C7A" w:rsidRDefault="008C6A77" w:rsidP="00CA2206">
      <w:pPr>
        <w:pStyle w:val="ListParagraph"/>
        <w:spacing w:after="120"/>
        <w:ind w:left="360"/>
        <w:contextualSpacing w:val="0"/>
        <w:rPr>
          <w:i/>
          <w:iCs/>
          <w:sz w:val="22"/>
        </w:rPr>
      </w:pPr>
      <w:r w:rsidRPr="00657DEF">
        <w:rPr>
          <w:rFonts w:cs="Arial"/>
          <w:i/>
          <w:iCs/>
          <w:sz w:val="22"/>
          <w:szCs w:val="20"/>
        </w:rPr>
        <w:t>Sujeto a supervisión de una de las siguientes jurisdicciones:</w:t>
      </w:r>
    </w:p>
    <w:p w14:paraId="42B1AFD0" w14:textId="1F049D47" w:rsidR="00C150E7" w:rsidRPr="00657DEF" w:rsidRDefault="00C150E7" w:rsidP="00CA2206">
      <w:pPr>
        <w:numPr>
          <w:ilvl w:val="1"/>
          <w:numId w:val="7"/>
        </w:numPr>
        <w:ind w:left="630"/>
        <w:rPr>
          <w:rFonts w:cs="Arial"/>
          <w:i/>
          <w:iCs/>
          <w:color w:val="000000"/>
          <w:sz w:val="22"/>
          <w:szCs w:val="20"/>
        </w:rPr>
      </w:pPr>
      <w:r w:rsidRPr="00657DEF">
        <w:rPr>
          <w:rFonts w:eastAsia="Calibri" w:cs="Arial"/>
          <w:color w:val="000000"/>
          <w:sz w:val="22"/>
          <w:szCs w:val="20"/>
        </w:rPr>
        <w:t xml:space="preserve">Pre-SRA probation </w:t>
      </w:r>
      <w:r w:rsidR="008C6A77" w:rsidRPr="00657DEF">
        <w:rPr>
          <w:rFonts w:eastAsia="Calibri" w:cs="Arial"/>
          <w:color w:val="000000"/>
          <w:sz w:val="22"/>
          <w:szCs w:val="20"/>
        </w:rPr>
        <w:t xml:space="preserve">/ </w:t>
      </w:r>
      <w:r w:rsidR="008C6A77" w:rsidRPr="00657DEF">
        <w:rPr>
          <w:rFonts w:cs="Arial"/>
          <w:i/>
          <w:iCs/>
          <w:color w:val="000000"/>
          <w:sz w:val="22"/>
          <w:szCs w:val="20"/>
        </w:rPr>
        <w:t xml:space="preserve">Libertad condicional antes del SRA </w:t>
      </w:r>
    </w:p>
    <w:p w14:paraId="35B29854" w14:textId="7A6E6A37" w:rsidR="00C150E7" w:rsidRPr="00657DEF" w:rsidRDefault="00C150E7" w:rsidP="00CA2206">
      <w:pPr>
        <w:numPr>
          <w:ilvl w:val="1"/>
          <w:numId w:val="7"/>
        </w:numPr>
        <w:ind w:left="630"/>
        <w:rPr>
          <w:rFonts w:cs="Arial"/>
          <w:i/>
          <w:iCs/>
          <w:color w:val="000000"/>
          <w:sz w:val="22"/>
          <w:szCs w:val="20"/>
        </w:rPr>
      </w:pPr>
      <w:r w:rsidRPr="00657DEF">
        <w:rPr>
          <w:rFonts w:eastAsia="Calibri" w:cs="Arial"/>
          <w:sz w:val="22"/>
          <w:szCs w:val="20"/>
        </w:rPr>
        <w:t xml:space="preserve">Misdemeanor </w:t>
      </w:r>
      <w:r w:rsidR="008C6A77" w:rsidRPr="00657DEF">
        <w:rPr>
          <w:rFonts w:eastAsia="Calibri" w:cs="Arial"/>
          <w:sz w:val="22"/>
          <w:szCs w:val="20"/>
        </w:rPr>
        <w:t xml:space="preserve">/ </w:t>
      </w:r>
      <w:r w:rsidR="008C6A77" w:rsidRPr="00657DEF">
        <w:rPr>
          <w:rFonts w:cs="Arial"/>
          <w:i/>
          <w:iCs/>
          <w:sz w:val="22"/>
          <w:szCs w:val="20"/>
        </w:rPr>
        <w:t xml:space="preserve">Delito menor </w:t>
      </w:r>
    </w:p>
    <w:p w14:paraId="1F8A9939" w14:textId="78EDC38D" w:rsidR="00C150E7" w:rsidRPr="00211493" w:rsidRDefault="00C150E7" w:rsidP="00CA2206">
      <w:pPr>
        <w:numPr>
          <w:ilvl w:val="1"/>
          <w:numId w:val="7"/>
        </w:numPr>
        <w:ind w:left="630"/>
        <w:rPr>
          <w:rFonts w:eastAsia="Calibri" w:cs="Arial"/>
          <w:sz w:val="22"/>
          <w:szCs w:val="20"/>
          <w:lang w:val="en-US"/>
        </w:rPr>
      </w:pPr>
      <w:r w:rsidRPr="00211493">
        <w:rPr>
          <w:rFonts w:eastAsia="Calibri" w:cs="Arial"/>
          <w:sz w:val="22"/>
          <w:szCs w:val="20"/>
          <w:lang w:val="en-US"/>
        </w:rPr>
        <w:t>Insanity acquittal and Conditional Release with court ordered supervision</w:t>
      </w:r>
    </w:p>
    <w:p w14:paraId="0B84CF8D" w14:textId="77777777" w:rsidR="008C6A77" w:rsidRPr="00657DEF" w:rsidRDefault="008C6A77" w:rsidP="00CA2206">
      <w:pPr>
        <w:ind w:left="630"/>
        <w:rPr>
          <w:rFonts w:cs="Arial"/>
          <w:i/>
          <w:iCs/>
          <w:sz w:val="22"/>
          <w:szCs w:val="20"/>
        </w:rPr>
      </w:pPr>
      <w:r w:rsidRPr="00657DEF">
        <w:rPr>
          <w:rFonts w:cs="Arial"/>
          <w:i/>
          <w:iCs/>
          <w:sz w:val="22"/>
          <w:szCs w:val="20"/>
        </w:rPr>
        <w:t>Absolución por demencia y libertad condicional con supervisión judicial</w:t>
      </w:r>
    </w:p>
    <w:p w14:paraId="5979885C" w14:textId="77777777" w:rsidR="00035E14" w:rsidRPr="00657DEF" w:rsidRDefault="00C150E7" w:rsidP="00CA2206">
      <w:pPr>
        <w:numPr>
          <w:ilvl w:val="1"/>
          <w:numId w:val="7"/>
        </w:numPr>
        <w:ind w:left="630"/>
        <w:rPr>
          <w:rFonts w:cs="Arial"/>
          <w:i/>
          <w:iCs/>
          <w:sz w:val="22"/>
          <w:szCs w:val="20"/>
        </w:rPr>
      </w:pPr>
      <w:r w:rsidRPr="00657DEF">
        <w:rPr>
          <w:rFonts w:eastAsia="Calibri" w:cs="Arial"/>
          <w:sz w:val="22"/>
          <w:szCs w:val="20"/>
        </w:rPr>
        <w:t xml:space="preserve">Supervision pending appeal </w:t>
      </w:r>
      <w:r w:rsidR="008C6A77" w:rsidRPr="00657DEF">
        <w:rPr>
          <w:rFonts w:eastAsia="Calibri" w:cs="Arial"/>
          <w:sz w:val="22"/>
          <w:szCs w:val="20"/>
        </w:rPr>
        <w:t xml:space="preserve">/ </w:t>
      </w:r>
      <w:r w:rsidR="008C6A77" w:rsidRPr="00657DEF">
        <w:rPr>
          <w:rFonts w:cs="Arial"/>
          <w:i/>
          <w:iCs/>
          <w:sz w:val="22"/>
          <w:szCs w:val="20"/>
        </w:rPr>
        <w:t xml:space="preserve">Supervisión pendiente de </w:t>
      </w:r>
      <w:r w:rsidR="00344E35" w:rsidRPr="00657DEF">
        <w:rPr>
          <w:rFonts w:cs="Arial"/>
          <w:i/>
          <w:iCs/>
          <w:sz w:val="22"/>
          <w:szCs w:val="20"/>
        </w:rPr>
        <w:t>apelación</w:t>
      </w:r>
      <w:r w:rsidR="008C6A77" w:rsidRPr="00657DEF">
        <w:rPr>
          <w:rFonts w:cs="Arial"/>
          <w:i/>
          <w:iCs/>
          <w:sz w:val="22"/>
          <w:szCs w:val="20"/>
        </w:rPr>
        <w:t xml:space="preserve"> </w:t>
      </w:r>
    </w:p>
    <w:p w14:paraId="1A991BF2" w14:textId="69B4D5C3" w:rsidR="00E83F66" w:rsidRPr="00657DEF" w:rsidRDefault="00E83F66" w:rsidP="00CA2206">
      <w:pPr>
        <w:numPr>
          <w:ilvl w:val="1"/>
          <w:numId w:val="7"/>
        </w:numPr>
        <w:spacing w:after="120"/>
        <w:ind w:left="630"/>
        <w:rPr>
          <w:rFonts w:cs="Arial"/>
          <w:i/>
          <w:iCs/>
          <w:sz w:val="22"/>
          <w:szCs w:val="20"/>
        </w:rPr>
      </w:pPr>
      <w:r w:rsidRPr="00657DEF">
        <w:rPr>
          <w:rFonts w:eastAsia="Calibri" w:cs="Arial"/>
          <w:sz w:val="22"/>
          <w:szCs w:val="20"/>
        </w:rPr>
        <w:t>Less Restrictive Alternative per RCW 71.09</w:t>
      </w:r>
      <w:r w:rsidR="00035E14" w:rsidRPr="00657DEF">
        <w:rPr>
          <w:rFonts w:eastAsia="Calibri" w:cs="Arial"/>
          <w:sz w:val="22"/>
          <w:szCs w:val="20"/>
        </w:rPr>
        <w:t>/</w:t>
      </w:r>
      <w:r w:rsidR="00035E14" w:rsidRPr="00657DEF">
        <w:rPr>
          <w:i/>
          <w:iCs/>
          <w:sz w:val="22"/>
          <w:szCs w:val="20"/>
        </w:rPr>
        <w:t>Alternativa menos restrictiva según RCW 71.09</w:t>
      </w:r>
    </w:p>
    <w:p w14:paraId="407C2990" w14:textId="00CF32F7" w:rsidR="00383691" w:rsidRPr="00211493" w:rsidRDefault="00C150E7" w:rsidP="00CA2206">
      <w:pPr>
        <w:numPr>
          <w:ilvl w:val="0"/>
          <w:numId w:val="6"/>
        </w:numPr>
        <w:ind w:left="360"/>
        <w:rPr>
          <w:sz w:val="22"/>
          <w:lang w:val="en-US"/>
        </w:rPr>
      </w:pPr>
      <w:r w:rsidRPr="00211493">
        <w:rPr>
          <w:rFonts w:eastAsia="Calibri" w:cs="Arial"/>
          <w:sz w:val="22"/>
          <w:szCs w:val="20"/>
          <w:lang w:val="en-US"/>
        </w:rPr>
        <w:t>Conditional commutation if prohibited in the commutation order</w:t>
      </w:r>
    </w:p>
    <w:p w14:paraId="6EA2E485" w14:textId="77777777" w:rsidR="008909EC" w:rsidRDefault="008C6A77" w:rsidP="008909EC">
      <w:pPr>
        <w:spacing w:after="60"/>
        <w:ind w:left="720"/>
        <w:rPr>
          <w:rFonts w:cs="Arial"/>
          <w:i/>
          <w:iCs/>
          <w:sz w:val="22"/>
          <w:szCs w:val="20"/>
        </w:rPr>
      </w:pPr>
      <w:r w:rsidRPr="00657DEF">
        <w:rPr>
          <w:rFonts w:cs="Arial"/>
          <w:i/>
          <w:iCs/>
          <w:sz w:val="22"/>
          <w:szCs w:val="20"/>
        </w:rPr>
        <w:t>Conmutación condicional si se prohíbe en la orden de conmutación</w:t>
      </w:r>
    </w:p>
    <w:p w14:paraId="71855B83" w14:textId="7B870B65" w:rsidR="008909EC" w:rsidRPr="00B96998" w:rsidRDefault="008909EC" w:rsidP="00A44A2D">
      <w:pPr>
        <w:pStyle w:val="ListParagraph"/>
        <w:numPr>
          <w:ilvl w:val="0"/>
          <w:numId w:val="6"/>
        </w:numPr>
        <w:ind w:left="360"/>
        <w:rPr>
          <w:rFonts w:cs="Arial"/>
          <w:szCs w:val="20"/>
          <w:lang w:val="en-US"/>
        </w:rPr>
      </w:pPr>
      <w:r w:rsidRPr="00B96998">
        <w:rPr>
          <w:rFonts w:eastAsia="Calibri" w:cs="Arial"/>
          <w:lang w:val="en-US"/>
        </w:rPr>
        <w:t>Sentenced to a term of Life</w:t>
      </w:r>
      <w:r w:rsidR="00211493" w:rsidRPr="00B96998">
        <w:rPr>
          <w:rFonts w:eastAsia="Calibri" w:cs="Arial"/>
          <w:lang w:val="en-US"/>
        </w:rPr>
        <w:t xml:space="preserve"> </w:t>
      </w:r>
    </w:p>
    <w:p w14:paraId="0324C7C6" w14:textId="29AC5D16" w:rsidR="00211493" w:rsidRPr="00211493" w:rsidRDefault="00211493" w:rsidP="00211493">
      <w:pPr>
        <w:pStyle w:val="ListParagraph"/>
        <w:ind w:left="360"/>
        <w:rPr>
          <w:rFonts w:cs="Arial"/>
          <w:i/>
          <w:iCs/>
          <w:sz w:val="22"/>
        </w:rPr>
      </w:pPr>
      <w:r w:rsidRPr="00211493">
        <w:rPr>
          <w:rFonts w:eastAsia="Calibri" w:cs="Arial"/>
          <w:i/>
          <w:iCs/>
          <w:sz w:val="22"/>
        </w:rPr>
        <w:t xml:space="preserve">    Condenado a término de vida</w:t>
      </w:r>
    </w:p>
    <w:p w14:paraId="44993DEA" w14:textId="45E91E43" w:rsidR="008909EC" w:rsidRPr="00211493" w:rsidRDefault="008909EC" w:rsidP="008909EC">
      <w:pPr>
        <w:tabs>
          <w:tab w:val="left" w:pos="2340"/>
        </w:tabs>
        <w:rPr>
          <w:rFonts w:cs="Arial"/>
          <w:szCs w:val="20"/>
        </w:rPr>
      </w:pPr>
      <w:r w:rsidRPr="00211493">
        <w:rPr>
          <w:rFonts w:cs="Arial"/>
          <w:szCs w:val="20"/>
        </w:rPr>
        <w:tab/>
      </w:r>
    </w:p>
    <w:sectPr w:rsidR="008909EC" w:rsidRPr="00211493" w:rsidSect="00994055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E43D" w14:textId="77777777" w:rsidR="00994055" w:rsidRDefault="00994055" w:rsidP="00D07451">
      <w:r>
        <w:separator/>
      </w:r>
    </w:p>
  </w:endnote>
  <w:endnote w:type="continuationSeparator" w:id="0">
    <w:p w14:paraId="78E443F6" w14:textId="77777777" w:rsidR="00994055" w:rsidRDefault="00994055" w:rsidP="00D0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EC42" w14:textId="49CCF14E" w:rsidR="00D07451" w:rsidRPr="00211493" w:rsidRDefault="00D07451" w:rsidP="0046408A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  <w:lang w:val="en-US"/>
      </w:rPr>
    </w:pPr>
    <w:r w:rsidRPr="00211493">
      <w:rPr>
        <w:sz w:val="20"/>
        <w:szCs w:val="20"/>
        <w:lang w:val="en-US"/>
      </w:rPr>
      <w:t>DOC 07-054</w:t>
    </w:r>
    <w:r w:rsidR="00B17363" w:rsidRPr="00211493">
      <w:rPr>
        <w:sz w:val="20"/>
        <w:szCs w:val="20"/>
        <w:lang w:val="en-US"/>
      </w:rPr>
      <w:t xml:space="preserve">ES (Rev. </w:t>
    </w:r>
    <w:r w:rsidR="008909EC" w:rsidRPr="00211493">
      <w:rPr>
        <w:sz w:val="20"/>
        <w:szCs w:val="20"/>
        <w:lang w:val="en-US"/>
      </w:rPr>
      <w:t>02/29/24</w:t>
    </w:r>
    <w:r w:rsidR="00035E14" w:rsidRPr="00211493">
      <w:rPr>
        <w:sz w:val="20"/>
        <w:szCs w:val="20"/>
        <w:lang w:val="en-US"/>
      </w:rPr>
      <w:t>)</w:t>
    </w:r>
    <w:r w:rsidR="0046408A" w:rsidRPr="00211493">
      <w:rPr>
        <w:sz w:val="20"/>
        <w:szCs w:val="20"/>
        <w:lang w:val="en-US"/>
      </w:rPr>
      <w:tab/>
    </w:r>
    <w:r w:rsidRPr="00211493">
      <w:rPr>
        <w:sz w:val="20"/>
        <w:szCs w:val="20"/>
        <w:lang w:val="en-US"/>
      </w:rPr>
      <w:t xml:space="preserve">Page </w:t>
    </w:r>
    <w:r w:rsidRPr="00D07451">
      <w:rPr>
        <w:sz w:val="20"/>
        <w:szCs w:val="20"/>
      </w:rPr>
      <w:fldChar w:fldCharType="begin"/>
    </w:r>
    <w:r w:rsidRPr="00211493">
      <w:rPr>
        <w:sz w:val="20"/>
        <w:szCs w:val="20"/>
        <w:lang w:val="en-US"/>
      </w:rPr>
      <w:instrText xml:space="preserve"> PAGE  \* Arabic  \* MERGEFORMAT </w:instrText>
    </w:r>
    <w:r w:rsidRPr="00D07451">
      <w:rPr>
        <w:sz w:val="20"/>
        <w:szCs w:val="20"/>
      </w:rPr>
      <w:fldChar w:fldCharType="separate"/>
    </w:r>
    <w:r w:rsidRPr="00211493">
      <w:rPr>
        <w:noProof/>
        <w:sz w:val="20"/>
        <w:szCs w:val="20"/>
        <w:lang w:val="en-US"/>
      </w:rPr>
      <w:t>1</w:t>
    </w:r>
    <w:r w:rsidRPr="00D07451">
      <w:rPr>
        <w:sz w:val="20"/>
        <w:szCs w:val="20"/>
      </w:rPr>
      <w:fldChar w:fldCharType="end"/>
    </w:r>
    <w:r w:rsidRPr="00211493">
      <w:rPr>
        <w:sz w:val="20"/>
        <w:szCs w:val="20"/>
        <w:lang w:val="en-US"/>
      </w:rPr>
      <w:t xml:space="preserve"> of </w:t>
    </w:r>
    <w:r w:rsidRPr="00D07451">
      <w:rPr>
        <w:sz w:val="20"/>
        <w:szCs w:val="20"/>
      </w:rPr>
      <w:fldChar w:fldCharType="begin"/>
    </w:r>
    <w:r w:rsidRPr="00211493">
      <w:rPr>
        <w:sz w:val="20"/>
        <w:szCs w:val="20"/>
        <w:lang w:val="en-US"/>
      </w:rPr>
      <w:instrText xml:space="preserve"> NUMPAGES  \* Arabic  \* MERGEFORMAT </w:instrText>
    </w:r>
    <w:r w:rsidRPr="00D07451">
      <w:rPr>
        <w:sz w:val="20"/>
        <w:szCs w:val="20"/>
      </w:rPr>
      <w:fldChar w:fldCharType="separate"/>
    </w:r>
    <w:r w:rsidRPr="00211493">
      <w:rPr>
        <w:noProof/>
        <w:sz w:val="20"/>
        <w:szCs w:val="20"/>
        <w:lang w:val="en-US"/>
      </w:rPr>
      <w:t>2</w:t>
    </w:r>
    <w:r w:rsidRPr="00D07451">
      <w:rPr>
        <w:sz w:val="20"/>
        <w:szCs w:val="20"/>
      </w:rPr>
      <w:fldChar w:fldCharType="end"/>
    </w:r>
    <w:r w:rsidR="0046408A" w:rsidRPr="00211493">
      <w:rPr>
        <w:sz w:val="20"/>
        <w:szCs w:val="20"/>
        <w:lang w:val="en-US"/>
      </w:rPr>
      <w:tab/>
    </w:r>
    <w:r w:rsidR="006D4732" w:rsidRPr="00211493">
      <w:rPr>
        <w:sz w:val="20"/>
        <w:szCs w:val="20"/>
        <w:lang w:val="en-US"/>
      </w:rPr>
      <w:t xml:space="preserve">DOC 310.100, </w:t>
    </w:r>
    <w:r w:rsidRPr="00211493">
      <w:rPr>
        <w:sz w:val="20"/>
        <w:szCs w:val="20"/>
        <w:lang w:val="en-US"/>
      </w:rPr>
      <w:t xml:space="preserve">DOC </w:t>
    </w:r>
    <w:r w:rsidR="00C150E7" w:rsidRPr="00211493">
      <w:rPr>
        <w:sz w:val="20"/>
        <w:szCs w:val="20"/>
        <w:lang w:val="en-US"/>
      </w:rPr>
      <w:t>350.105</w:t>
    </w:r>
  </w:p>
  <w:p w14:paraId="74BC17DF" w14:textId="7B40C3B7" w:rsidR="00D07451" w:rsidRPr="00D07451" w:rsidRDefault="00D07451">
    <w:pPr>
      <w:pStyle w:val="Footer"/>
      <w:rPr>
        <w:sz w:val="20"/>
        <w:szCs w:val="20"/>
      </w:rPr>
    </w:pPr>
    <w:r>
      <w:rPr>
        <w:sz w:val="20"/>
        <w:szCs w:val="20"/>
      </w:rPr>
      <w:t xml:space="preserve">Scan Code: </w:t>
    </w:r>
    <w:r w:rsidR="00DA241E">
      <w:rPr>
        <w:sz w:val="20"/>
        <w:szCs w:val="20"/>
      </w:rPr>
      <w:t>GM09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DD1B" w14:textId="77777777" w:rsidR="00994055" w:rsidRDefault="00994055" w:rsidP="00D07451">
      <w:r>
        <w:separator/>
      </w:r>
    </w:p>
  </w:footnote>
  <w:footnote w:type="continuationSeparator" w:id="0">
    <w:p w14:paraId="1A5BC85E" w14:textId="77777777" w:rsidR="00994055" w:rsidRDefault="00994055" w:rsidP="00D0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474"/>
    <w:multiLevelType w:val="hybridMultilevel"/>
    <w:tmpl w:val="464E7F04"/>
    <w:lvl w:ilvl="0" w:tplc="BD841F3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789"/>
    <w:multiLevelType w:val="hybridMultilevel"/>
    <w:tmpl w:val="4FDC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479C"/>
    <w:multiLevelType w:val="hybridMultilevel"/>
    <w:tmpl w:val="FCCE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6765"/>
    <w:multiLevelType w:val="hybridMultilevel"/>
    <w:tmpl w:val="C6F4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37D0"/>
    <w:multiLevelType w:val="hybridMultilevel"/>
    <w:tmpl w:val="1E4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D64D3"/>
    <w:multiLevelType w:val="hybridMultilevel"/>
    <w:tmpl w:val="8454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41F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A4A"/>
    <w:multiLevelType w:val="hybridMultilevel"/>
    <w:tmpl w:val="7B58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E015F"/>
    <w:multiLevelType w:val="hybridMultilevel"/>
    <w:tmpl w:val="0FC20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E110C"/>
    <w:multiLevelType w:val="hybridMultilevel"/>
    <w:tmpl w:val="12D601D6"/>
    <w:lvl w:ilvl="0" w:tplc="BD841F3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999500">
    <w:abstractNumId w:val="2"/>
  </w:num>
  <w:num w:numId="2" w16cid:durableId="350693591">
    <w:abstractNumId w:val="1"/>
  </w:num>
  <w:num w:numId="3" w16cid:durableId="891306326">
    <w:abstractNumId w:val="8"/>
  </w:num>
  <w:num w:numId="4" w16cid:durableId="1575120184">
    <w:abstractNumId w:val="7"/>
  </w:num>
  <w:num w:numId="5" w16cid:durableId="1069156418">
    <w:abstractNumId w:val="3"/>
  </w:num>
  <w:num w:numId="6" w16cid:durableId="766195998">
    <w:abstractNumId w:val="4"/>
  </w:num>
  <w:num w:numId="7" w16cid:durableId="671106884">
    <w:abstractNumId w:val="5"/>
  </w:num>
  <w:num w:numId="8" w16cid:durableId="480734557">
    <w:abstractNumId w:val="6"/>
  </w:num>
  <w:num w:numId="9" w16cid:durableId="114616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fIWqyyu2jlKyx4Rb1IewRCU9lrDU//NQQ8bfB5sVtg13klD+dL/FrybSu2Lb/pStMN3Xkj8K1l0S12TIYTfGQ==" w:salt="6pfXDognEvAIy++AMwqOS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C"/>
    <w:rsid w:val="0000366B"/>
    <w:rsid w:val="000261B3"/>
    <w:rsid w:val="00035E14"/>
    <w:rsid w:val="00050F85"/>
    <w:rsid w:val="00080799"/>
    <w:rsid w:val="000A2366"/>
    <w:rsid w:val="000A322D"/>
    <w:rsid w:val="000A3EA3"/>
    <w:rsid w:val="000B2974"/>
    <w:rsid w:val="000B4E1A"/>
    <w:rsid w:val="000C38E2"/>
    <w:rsid w:val="00191A59"/>
    <w:rsid w:val="001C1F3A"/>
    <w:rsid w:val="001D65C7"/>
    <w:rsid w:val="001F493F"/>
    <w:rsid w:val="00211493"/>
    <w:rsid w:val="002F7FDC"/>
    <w:rsid w:val="00310119"/>
    <w:rsid w:val="00310DCD"/>
    <w:rsid w:val="00341DD6"/>
    <w:rsid w:val="00343BE1"/>
    <w:rsid w:val="00344E35"/>
    <w:rsid w:val="00346AC9"/>
    <w:rsid w:val="00380B4E"/>
    <w:rsid w:val="00383691"/>
    <w:rsid w:val="003A0D2F"/>
    <w:rsid w:val="003C6D4B"/>
    <w:rsid w:val="003D000F"/>
    <w:rsid w:val="003E2971"/>
    <w:rsid w:val="00403F6C"/>
    <w:rsid w:val="0040656A"/>
    <w:rsid w:val="00455388"/>
    <w:rsid w:val="0046408A"/>
    <w:rsid w:val="0046485F"/>
    <w:rsid w:val="0046605F"/>
    <w:rsid w:val="004C1330"/>
    <w:rsid w:val="00514702"/>
    <w:rsid w:val="00536D23"/>
    <w:rsid w:val="00550290"/>
    <w:rsid w:val="00567F8C"/>
    <w:rsid w:val="00572BCC"/>
    <w:rsid w:val="00583CEC"/>
    <w:rsid w:val="005B2E89"/>
    <w:rsid w:val="005B6456"/>
    <w:rsid w:val="00657DEF"/>
    <w:rsid w:val="0067455C"/>
    <w:rsid w:val="0068011A"/>
    <w:rsid w:val="006C030B"/>
    <w:rsid w:val="006D4732"/>
    <w:rsid w:val="00706C12"/>
    <w:rsid w:val="00713CEB"/>
    <w:rsid w:val="007566A2"/>
    <w:rsid w:val="0076550E"/>
    <w:rsid w:val="00775291"/>
    <w:rsid w:val="007A5B24"/>
    <w:rsid w:val="00836052"/>
    <w:rsid w:val="008909EC"/>
    <w:rsid w:val="00893FAC"/>
    <w:rsid w:val="008C58D4"/>
    <w:rsid w:val="008C6A77"/>
    <w:rsid w:val="00903FA2"/>
    <w:rsid w:val="00954EB8"/>
    <w:rsid w:val="00971C1E"/>
    <w:rsid w:val="009929B2"/>
    <w:rsid w:val="00994055"/>
    <w:rsid w:val="009974D3"/>
    <w:rsid w:val="009B53D4"/>
    <w:rsid w:val="009C248D"/>
    <w:rsid w:val="00A97E6A"/>
    <w:rsid w:val="00AA05F9"/>
    <w:rsid w:val="00AD08E1"/>
    <w:rsid w:val="00B11E0C"/>
    <w:rsid w:val="00B17363"/>
    <w:rsid w:val="00B25769"/>
    <w:rsid w:val="00B96998"/>
    <w:rsid w:val="00BB2AA8"/>
    <w:rsid w:val="00BC1E2A"/>
    <w:rsid w:val="00C150E7"/>
    <w:rsid w:val="00C23013"/>
    <w:rsid w:val="00C8030B"/>
    <w:rsid w:val="00C94DA1"/>
    <w:rsid w:val="00CA2206"/>
    <w:rsid w:val="00CD226F"/>
    <w:rsid w:val="00D07451"/>
    <w:rsid w:val="00D66087"/>
    <w:rsid w:val="00D726A3"/>
    <w:rsid w:val="00D80C3D"/>
    <w:rsid w:val="00D910E6"/>
    <w:rsid w:val="00DA241E"/>
    <w:rsid w:val="00E13E0D"/>
    <w:rsid w:val="00E177B8"/>
    <w:rsid w:val="00E268B6"/>
    <w:rsid w:val="00E41C7A"/>
    <w:rsid w:val="00E83F66"/>
    <w:rsid w:val="00EA373E"/>
    <w:rsid w:val="00F0226B"/>
    <w:rsid w:val="00F16CF2"/>
    <w:rsid w:val="00F500B0"/>
    <w:rsid w:val="00F74CAB"/>
    <w:rsid w:val="00F92D7D"/>
    <w:rsid w:val="00FD6F6C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755C"/>
  <w15:chartTrackingRefBased/>
  <w15:docId w15:val="{EC819AF5-6617-4A71-ACD4-63184B1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00F"/>
    <w:pPr>
      <w:spacing w:after="0" w:line="240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451"/>
  </w:style>
  <w:style w:type="paragraph" w:styleId="Footer">
    <w:name w:val="footer"/>
    <w:basedOn w:val="Normal"/>
    <w:link w:val="FooterChar"/>
    <w:uiPriority w:val="99"/>
    <w:unhideWhenUsed/>
    <w:rsid w:val="00D07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451"/>
  </w:style>
  <w:style w:type="character" w:styleId="Hyperlink">
    <w:name w:val="Hyperlink"/>
    <w:basedOn w:val="DefaultParagraphFont"/>
    <w:uiPriority w:val="99"/>
    <w:unhideWhenUsed/>
    <w:rsid w:val="00765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5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s.leg.wa.gov/rcw/default.aspx?cite=10.95.030" TargetMode="External"/><Relationship Id="rId18" Type="http://schemas.openxmlformats.org/officeDocument/2006/relationships/hyperlink" Target="https://apps.leg.wa.gov/rcw/default.aspx?cite=9.94A.655" TargetMode="External"/><Relationship Id="rId26" Type="http://schemas.openxmlformats.org/officeDocument/2006/relationships/hyperlink" Target="https://apps.leg.wa.gov/rcw/default.aspx?cite=9.94A.6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leg.wa.gov/rcw/default.aspx?cite=9.94A.6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s.leg.wa.gov/rcw/default.aspx?cite=9.94A.507" TargetMode="External"/><Relationship Id="rId17" Type="http://schemas.openxmlformats.org/officeDocument/2006/relationships/hyperlink" Target="https://apps.leg.wa.gov/rcw/default.aspx?cite=9.94A.655" TargetMode="External"/><Relationship Id="rId25" Type="http://schemas.openxmlformats.org/officeDocument/2006/relationships/hyperlink" Target="https://apps.leg.wa.gov/rcw/default.aspx?cite=9.94A.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leg.wa.gov/rcw/default.aspx?cite=9.94A.650" TargetMode="External"/><Relationship Id="rId20" Type="http://schemas.openxmlformats.org/officeDocument/2006/relationships/hyperlink" Target="https://apps.leg.wa.gov/rcw/default.aspx?cite=9.94A.660" TargetMode="External"/><Relationship Id="rId29" Type="http://schemas.openxmlformats.org/officeDocument/2006/relationships/hyperlink" Target="https://apps.leg.wa.gov/rcw/default.aspx?cite=9.94A.7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leg.wa.gov/rcw/default.aspx?cite=9.94A.507" TargetMode="External"/><Relationship Id="rId24" Type="http://schemas.openxmlformats.org/officeDocument/2006/relationships/hyperlink" Target="https://apps.leg.wa.gov/rcw/default.aspx?cite=9.94A.74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leg.wa.gov/rcw/default.aspx?cite=9.94A.650" TargetMode="External"/><Relationship Id="rId23" Type="http://schemas.openxmlformats.org/officeDocument/2006/relationships/hyperlink" Target="https://apps.leg.wa.gov/rcw/default.aspx?cite=9.94A.745" TargetMode="External"/><Relationship Id="rId28" Type="http://schemas.openxmlformats.org/officeDocument/2006/relationships/hyperlink" Target="https://apps.leg.wa.gov/rcw/default.aspx?cite=9.95.017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apps.leg.wa.gov/rcw/default.aspx?cite=9.94A.66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pps.leg.wa.gov/rcw/default.aspx?cite=10.95.030" TargetMode="External"/><Relationship Id="rId22" Type="http://schemas.openxmlformats.org/officeDocument/2006/relationships/hyperlink" Target="https://apps.leg.wa.gov/rcw/default.aspx?cite=9.94A.670" TargetMode="External"/><Relationship Id="rId27" Type="http://schemas.openxmlformats.org/officeDocument/2006/relationships/hyperlink" Target="https://apps.leg.wa.gov/rcw/default.aspx?cite=9.95.017" TargetMode="External"/><Relationship Id="rId30" Type="http://schemas.openxmlformats.org/officeDocument/2006/relationships/hyperlink" Target="https://apps.leg.wa.gov/rcw/default.aspx?cite=9.94A.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B86D-CDB7-4D2E-8915-85F59F94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1473</Words>
  <Characters>8397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WADOC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2</cp:revision>
  <dcterms:created xsi:type="dcterms:W3CDTF">2024-04-01T22:23:00Z</dcterms:created>
  <dcterms:modified xsi:type="dcterms:W3CDTF">2024-04-01T22:23:00Z</dcterms:modified>
</cp:coreProperties>
</file>